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jc w:val="center"/>
        <w:tblLayout w:type="fixed"/>
        <w:tblLook w:val="0400" w:firstRow="0" w:lastRow="0" w:firstColumn="0" w:lastColumn="0" w:noHBand="0" w:noVBand="1"/>
      </w:tblPr>
      <w:tblGrid>
        <w:gridCol w:w="3544"/>
        <w:gridCol w:w="6237"/>
      </w:tblGrid>
      <w:tr w:rsidR="003D4C2B" w:rsidRPr="003D4C2B" w14:paraId="18F0C485" w14:textId="77777777" w:rsidTr="00AC0408">
        <w:trPr>
          <w:jc w:val="center"/>
        </w:trPr>
        <w:tc>
          <w:tcPr>
            <w:tcW w:w="3544" w:type="dxa"/>
          </w:tcPr>
          <w:p w14:paraId="7C33488B" w14:textId="62D91EDD" w:rsidR="00B0460E" w:rsidRPr="003D4C2B" w:rsidRDefault="00B0460E" w:rsidP="00AC0408">
            <w:pPr>
              <w:spacing w:after="0" w:line="240" w:lineRule="auto"/>
              <w:ind w:firstLine="0"/>
              <w:jc w:val="center"/>
              <w:rPr>
                <w:b/>
                <w:bCs/>
                <w:lang w:val="en-US"/>
              </w:rPr>
            </w:pPr>
            <w:r w:rsidRPr="003D4C2B">
              <w:rPr>
                <w:b/>
                <w:bCs/>
                <w:lang w:val="en-US"/>
              </w:rPr>
              <w:t xml:space="preserve">ỦY BAN NHÂN DÂN </w:t>
            </w:r>
          </w:p>
          <w:p w14:paraId="4977C4DC" w14:textId="12161D32" w:rsidR="00B0460E" w:rsidRPr="003D4C2B" w:rsidRDefault="00B0460E" w:rsidP="00AC0408">
            <w:pPr>
              <w:spacing w:after="0" w:line="240" w:lineRule="auto"/>
              <w:ind w:firstLine="0"/>
              <w:jc w:val="center"/>
              <w:rPr>
                <w:b/>
                <w:bCs/>
                <w:lang w:val="en-US"/>
              </w:rPr>
            </w:pPr>
            <w:r w:rsidRPr="003D4C2B">
              <w:rPr>
                <w:b/>
                <w:bCs/>
                <w:lang w:val="en-US"/>
              </w:rPr>
              <w:t xml:space="preserve">XÃ </w:t>
            </w:r>
            <w:r w:rsidR="004E710E" w:rsidRPr="003D4C2B">
              <w:rPr>
                <w:b/>
                <w:bCs/>
                <w:lang w:val="en-US"/>
              </w:rPr>
              <w:t>MỎ CÀY</w:t>
            </w:r>
          </w:p>
          <w:p w14:paraId="5672EC96" w14:textId="09FC3575" w:rsidR="00B0460E" w:rsidRPr="003D4C2B" w:rsidRDefault="00B0460E" w:rsidP="00AC0408">
            <w:pPr>
              <w:spacing w:after="0" w:line="240" w:lineRule="auto"/>
              <w:ind w:firstLine="0"/>
              <w:jc w:val="center"/>
              <w:rPr>
                <w:b/>
                <w:bCs/>
              </w:rPr>
            </w:pPr>
          </w:p>
          <w:p w14:paraId="11EB2C82" w14:textId="77777777" w:rsidR="00B0460E" w:rsidRPr="003D4C2B" w:rsidRDefault="00B0460E" w:rsidP="00AC0408">
            <w:pPr>
              <w:spacing w:after="0" w:line="240" w:lineRule="auto"/>
              <w:ind w:firstLine="0"/>
            </w:pPr>
          </w:p>
        </w:tc>
        <w:tc>
          <w:tcPr>
            <w:tcW w:w="6237" w:type="dxa"/>
          </w:tcPr>
          <w:p w14:paraId="06172DEE" w14:textId="77777777" w:rsidR="00B0460E" w:rsidRPr="003D4C2B" w:rsidRDefault="00B0460E" w:rsidP="00AC0408">
            <w:pPr>
              <w:spacing w:after="0" w:line="240" w:lineRule="auto"/>
              <w:ind w:firstLine="0"/>
              <w:jc w:val="center"/>
              <w:rPr>
                <w:b/>
                <w:bCs/>
              </w:rPr>
            </w:pPr>
            <w:r w:rsidRPr="003D4C2B">
              <w:rPr>
                <w:b/>
                <w:bCs/>
              </w:rPr>
              <w:t>CỘNG HÒA XÃ HỘI CHỦ NGHĨA VIỆT NAM</w:t>
            </w:r>
          </w:p>
          <w:p w14:paraId="4249A780" w14:textId="77777777" w:rsidR="00B0460E" w:rsidRPr="003D4C2B" w:rsidRDefault="00B0460E" w:rsidP="00AC0408">
            <w:pPr>
              <w:spacing w:after="0" w:line="240" w:lineRule="auto"/>
              <w:ind w:firstLine="0"/>
              <w:jc w:val="center"/>
              <w:rPr>
                <w:b/>
                <w:bCs/>
              </w:rPr>
            </w:pPr>
            <w:r w:rsidRPr="003D4C2B">
              <w:rPr>
                <w:b/>
                <w:bCs/>
              </w:rPr>
              <w:t>Độc lập - Tự do - Hạnh phúc</w:t>
            </w:r>
          </w:p>
          <w:p w14:paraId="1EABC181" w14:textId="77777777" w:rsidR="00B0460E" w:rsidRPr="003D4C2B" w:rsidRDefault="00B0460E" w:rsidP="00AC0408">
            <w:pPr>
              <w:spacing w:after="0" w:line="240" w:lineRule="auto"/>
              <w:ind w:firstLine="0"/>
              <w:jc w:val="center"/>
              <w:rPr>
                <w:b/>
                <w:bCs/>
              </w:rPr>
            </w:pPr>
            <w:r w:rsidRPr="003D4C2B">
              <w:rPr>
                <w:noProof/>
              </w:rPr>
              <mc:AlternateContent>
                <mc:Choice Requires="wps">
                  <w:drawing>
                    <wp:anchor distT="0" distB="0" distL="114300" distR="114300" simplePos="0" relativeHeight="251660288" behindDoc="0" locked="0" layoutInCell="1" hidden="0" allowOverlap="1" wp14:anchorId="49A645DD" wp14:editId="0AD318F0">
                      <wp:simplePos x="0" y="0"/>
                      <wp:positionH relativeFrom="column">
                        <wp:posOffset>887730</wp:posOffset>
                      </wp:positionH>
                      <wp:positionV relativeFrom="paragraph">
                        <wp:posOffset>10795</wp:posOffset>
                      </wp:positionV>
                      <wp:extent cx="203835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26825" y="3780000"/>
                                <a:ext cx="203835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w16sdtfl="http://schemas.microsoft.com/office/word/2024/wordml/sdtformatlock" xmlns:w16du="http://schemas.microsoft.com/office/word/2023/wordml/word16du">
                  <w:pict>
                    <v:shapetype w14:anchorId="5C2A2D2E" id="_x0000_t32" coordsize="21600,21600" o:spt="32" o:oned="t" path="m,l21600,21600e" filled="f">
                      <v:path arrowok="t" fillok="f" o:connecttype="none"/>
                      <o:lock v:ext="edit" shapetype="t"/>
                    </v:shapetype>
                    <v:shape id="Straight Arrow Connector 2" o:spid="_x0000_s1026" type="#_x0000_t32" style="position:absolute;margin-left:69.9pt;margin-top:.85pt;width:160.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" strokecolor="black [3200]">
                      <v:stroke startarrowwidth="narrow" startarrowlength="short" endarrowwidth="narrow" endarrowlength="short" joinstyle="miter"/>
                    </v:shape>
                  </w:pict>
                </mc:Fallback>
              </mc:AlternateContent>
            </w:r>
          </w:p>
          <w:p w14:paraId="3E2B29D6" w14:textId="77777777" w:rsidR="00B0460E" w:rsidRPr="003D4C2B" w:rsidRDefault="00B0460E" w:rsidP="00AC0408">
            <w:pPr>
              <w:spacing w:after="0" w:line="240" w:lineRule="auto"/>
              <w:ind w:firstLine="0"/>
              <w:jc w:val="center"/>
              <w:rPr>
                <w:i/>
                <w:iCs/>
              </w:rPr>
            </w:pPr>
          </w:p>
        </w:tc>
      </w:tr>
    </w:tbl>
    <w:p w14:paraId="735BBD47" w14:textId="2C23B063" w:rsidR="00B0460E" w:rsidRPr="003D4C2B" w:rsidRDefault="00B0460E" w:rsidP="00B0460E">
      <w:pPr>
        <w:spacing w:before="480" w:after="480"/>
        <w:jc w:val="center"/>
        <w:rPr>
          <w:b/>
          <w:bCs/>
        </w:rPr>
      </w:pPr>
      <w:r w:rsidRPr="003D4C2B">
        <w:rPr>
          <w:b/>
          <w:bCs/>
        </w:rPr>
        <w:t>TÓM TẮT ĐỀ ÁN</w:t>
      </w:r>
      <w:r w:rsidRPr="003D4C2B">
        <w:rPr>
          <w:b/>
          <w:bCs/>
        </w:rPr>
        <w:br/>
        <w:t xml:space="preserve">THÀNH LẬP PHƯỜNG </w:t>
      </w:r>
      <w:r w:rsidR="004E710E" w:rsidRPr="003D4C2B">
        <w:rPr>
          <w:b/>
          <w:bCs/>
        </w:rPr>
        <w:t>MỎ CÀY</w:t>
      </w:r>
      <w:r w:rsidRPr="003D4C2B">
        <w:rPr>
          <w:b/>
          <w:bCs/>
        </w:rPr>
        <w:t xml:space="preserve"> THUỘC TỈNH VĨNH LONG</w:t>
      </w:r>
    </w:p>
    <w:p w14:paraId="33DD2E38" w14:textId="77777777" w:rsidR="00B0460E" w:rsidRPr="003D4C2B" w:rsidRDefault="00B0460E" w:rsidP="00B0460E">
      <w:pPr>
        <w:pStyle w:val="Heading1"/>
        <w:rPr>
          <w:lang w:val="vi"/>
        </w:rPr>
      </w:pPr>
      <w:r w:rsidRPr="003D4C2B">
        <w:rPr>
          <w:lang w:val="vi"/>
        </w:rPr>
        <w:t>I. CĂN CỨ PHÁP LÝ</w:t>
      </w:r>
    </w:p>
    <w:p w14:paraId="4742DCF4" w14:textId="77777777" w:rsidR="00B0460E" w:rsidRPr="003D4C2B" w:rsidRDefault="00B0460E" w:rsidP="00B0460E">
      <w:pPr>
        <w:ind w:firstLine="566"/>
      </w:pPr>
      <w:r w:rsidRPr="003D4C2B">
        <w:t>- Luật Tổ chức chính quyền địa phương số 72/2025/QH15;</w:t>
      </w:r>
    </w:p>
    <w:p w14:paraId="6B2368D6" w14:textId="77777777" w:rsidR="00B0460E" w:rsidRPr="003D4C2B" w:rsidRDefault="00B0460E" w:rsidP="00B0460E">
      <w:pPr>
        <w:ind w:firstLine="566"/>
      </w:pPr>
      <w:r w:rsidRPr="003D4C2B">
        <w:t>- Nghị quyết số 81/2023/QH15 ngày 09/01/2023 của Quốc hội về Quy hoạch tổng thể quốc gia thời kỳ 2021 - 2030, tầm nhìn đến năm 2050;</w:t>
      </w:r>
    </w:p>
    <w:p w14:paraId="4879BEAC" w14:textId="77777777" w:rsidR="00B0460E" w:rsidRPr="003D4C2B" w:rsidRDefault="00B0460E" w:rsidP="00B0460E">
      <w:pPr>
        <w:ind w:firstLine="566"/>
      </w:pPr>
      <w:r w:rsidRPr="003D4C2B">
        <w:t>- Nghị quyết số 112/2025/UBTVQH15 ngày 24/12/2025 của Ủy ban Thường vụ Quốc hội về tiêu chuẩn của đơn vị hành chính;</w:t>
      </w:r>
    </w:p>
    <w:p w14:paraId="019499BD" w14:textId="77777777" w:rsidR="00B0460E" w:rsidRPr="003D4C2B" w:rsidRDefault="00B0460E" w:rsidP="00B0460E">
      <w:pPr>
        <w:ind w:firstLine="566"/>
      </w:pPr>
      <w:r w:rsidRPr="003D4C2B">
        <w:t>- Nghị định số 321/2025/NĐ-CP ngày 16/12/2025 của Chính phủ hướng dẫn việc lấy ý kiến Nhân dân về thành lập, giải thể, nhập, chia, điều chỉnh địa giới và đổi tên đơn vị hành chính;</w:t>
      </w:r>
    </w:p>
    <w:p w14:paraId="3CDAA58D" w14:textId="77777777" w:rsidR="00B0460E" w:rsidRPr="003D4C2B" w:rsidRDefault="00B0460E" w:rsidP="00B0460E">
      <w:pPr>
        <w:ind w:firstLine="566"/>
      </w:pPr>
      <w:r w:rsidRPr="003D4C2B">
        <w:t>- Quyết định số 891/QĐ-TTg ngày 22/8/2024 của Thủ tướng Chính phủ phê duyệt Quy hoạch hệ thống đô thị nông thôn thời kỳ 2021 - 2030, tầm nhìn đến năm 2050;</w:t>
      </w:r>
    </w:p>
    <w:p w14:paraId="2B0DED6A" w14:textId="77777777" w:rsidR="00B0460E" w:rsidRPr="003D4C2B" w:rsidRDefault="00B0460E" w:rsidP="00B0460E">
      <w:pPr>
        <w:ind w:firstLine="566"/>
      </w:pPr>
      <w:r w:rsidRPr="003D4C2B">
        <w:t>- Quyết định số </w:t>
      </w:r>
      <w:hyperlink r:id="rId6">
        <w:r w:rsidRPr="003D4C2B">
          <w:t>287/QĐ-TTg</w:t>
        </w:r>
      </w:hyperlink>
      <w:r w:rsidRPr="003D4C2B">
        <w:t> ngày 28/02/2022 của Thủ tướng Chính phủ về phê duyệt Quy hoạch vùng đồng bằng sông Cửu Long thời kỳ 2021 - 2030, tầm nhìn đến năm 2050;</w:t>
      </w:r>
    </w:p>
    <w:p w14:paraId="082C3C10" w14:textId="78A97FF4" w:rsidR="00B0460E" w:rsidRPr="003D4C2B" w:rsidRDefault="00B0460E" w:rsidP="00B0460E">
      <w:pPr>
        <w:ind w:firstLine="566"/>
      </w:pPr>
      <w:r w:rsidRPr="003D4C2B">
        <w:t xml:space="preserve">- </w:t>
      </w:r>
      <w:r w:rsidR="004E710E" w:rsidRPr="003D4C2B">
        <w:t>Theo quyết định số 1711/QĐ-BXD ngay 31/12/2020 của Bộ Xây dựng về công nhận thị trấn Bình Đại và khu vực mở rộng, huyện Mỏ Cày Nam, tỉnh Bến Tre đạt tiêu chí đô thị loại IV</w:t>
      </w:r>
      <w:r w:rsidRPr="003D4C2B">
        <w:t>;</w:t>
      </w:r>
    </w:p>
    <w:p w14:paraId="2974FD75" w14:textId="566D889A" w:rsidR="00B0460E" w:rsidRPr="003D4C2B" w:rsidRDefault="00B0460E" w:rsidP="00B0460E">
      <w:pPr>
        <w:ind w:firstLine="566"/>
      </w:pPr>
      <w:r w:rsidRPr="003D4C2B">
        <w:t xml:space="preserve">- </w:t>
      </w:r>
      <w:r w:rsidR="004E710E" w:rsidRPr="003D4C2B">
        <w:rPr>
          <w:highlight w:val="white"/>
        </w:rPr>
        <w:t>Theo Quyết định số 1648/QÐ-UBND ngày 14/8/2014 phê duyệt Đồ án điều chỉnh quy hoạch chung xây dựng đô thị thị trấn Mỏ Cày, huyện Mỏ Cày Nam, tỉnh Bến Tre giai đoạn đến năm 2030</w:t>
      </w:r>
      <w:r w:rsidR="00D93C5C" w:rsidRPr="003D4C2B">
        <w:t>.</w:t>
      </w:r>
    </w:p>
    <w:p w14:paraId="69120F52" w14:textId="4D4A40C6" w:rsidR="00B0460E" w:rsidRPr="003D4C2B" w:rsidRDefault="00B0460E" w:rsidP="00B0460E">
      <w:pPr>
        <w:pStyle w:val="Heading1"/>
        <w:rPr>
          <w:lang w:val="vi"/>
        </w:rPr>
      </w:pPr>
      <w:r w:rsidRPr="003D4C2B">
        <w:rPr>
          <w:lang w:val="vi"/>
        </w:rPr>
        <w:t xml:space="preserve">II. SỰ CẦN THIẾT LẬP ĐỀ ÁN THÀNH LẬP PHƯỜNG </w:t>
      </w:r>
      <w:r w:rsidR="004E710E" w:rsidRPr="003D4C2B">
        <w:rPr>
          <w:lang w:val="vi"/>
        </w:rPr>
        <w:t>MỎ CÀY</w:t>
      </w:r>
    </w:p>
    <w:p w14:paraId="616DFB27" w14:textId="4F51588E" w:rsidR="00E000F7" w:rsidRPr="003D4C2B" w:rsidRDefault="00E000F7" w:rsidP="00E000F7">
      <w:pPr>
        <w:ind w:firstLine="566"/>
      </w:pPr>
      <w:r w:rsidRPr="003D4C2B">
        <w:t xml:space="preserve">Trong những năm gần đây, khu vực Mỏ Cày có nhiều chuyển biến tích cực về phát triển kinh tế - xã hội, tốc độ đô thị hóa ngày càng rõ nét, từng bước hình thành không gian đô thị tập trung gắn với các trục giao thông và khu dân cư phát triển mới. </w:t>
      </w:r>
      <w:r w:rsidRPr="003D4C2B">
        <w:lastRenderedPageBreak/>
        <w:t xml:space="preserve">Trên cơ sở yêu cầu thực tiễn đó, việc thành lập phường Mỏ Cày từ xã Mỏ Cày được hình thành trên cơ sở sắp xếp </w:t>
      </w:r>
      <w:r w:rsidR="00F329E0" w:rsidRPr="00251106">
        <w:t>thị trấn Mỏ Cày và các xã An Thạnh (huyện Mỏ Cày Nam), Tân Hội, Đa Phước Hội</w:t>
      </w:r>
      <w:r w:rsidRPr="003D4C2B">
        <w:t xml:space="preserve"> là cần thiết nhằm phù hợp với định hướng phát triển đô thị và nâng cao hiệu quả quản lý nhà nước tại địa phương.</w:t>
      </w:r>
    </w:p>
    <w:p w14:paraId="5348E5BA" w14:textId="77777777" w:rsidR="00E000F7" w:rsidRPr="003D4C2B" w:rsidRDefault="00E000F7" w:rsidP="00E000F7">
      <w:pPr>
        <w:ind w:firstLine="566"/>
      </w:pPr>
      <w:r w:rsidRPr="003D4C2B">
        <w:t>Các đơn vị hành chính được sáp nhập có vị trí tiếp giáp liên tục, có mối quan hệ gắn bó lâu dài về kinh tế, văn hóa, xã hội và đời sống dân cư. Hoạt động sản xuất, giao thương và đi lại giữa các địa phương diễn ra thường xuyên, tạo nên sự liên kết chặt chẽ trong phát triển không gian kinh tế - xã hội. Việc tổ chức lại đơn vị hành chính sẽ tạo điều kiện thuận lợi trong công tác quy hoạch, đầu tư hạ tầng và tổ chức quản lý đồng bộ theo định hướng phát triển đô thị.</w:t>
      </w:r>
    </w:p>
    <w:p w14:paraId="2EA1F341" w14:textId="77777777" w:rsidR="00E000F7" w:rsidRPr="003D4C2B" w:rsidRDefault="00E000F7" w:rsidP="00E000F7">
      <w:pPr>
        <w:ind w:firstLine="566"/>
      </w:pPr>
      <w:r w:rsidRPr="003D4C2B">
        <w:t>Sau khi sắp xếp, xã Mỏ Cày có diện tích tự nhiên 38,89 km², quy mô dân số 50.338 người, trong đó dân số khu vực đô thị đạt 26.137 người. Với quy mô dân số lớn và tỷ lệ dân cư tập trung ngày càng tăng, khu vực này đã xuất hiện nhiều yếu tố đặc trưng của đô thị như phát triển dân cư tập trung, mở rộng hoạt động thương mại - dịch vụ và gia tăng nhu cầu về hạ tầng kỹ thuật, hạ tầng xã hội.</w:t>
      </w:r>
    </w:p>
    <w:p w14:paraId="15FDC08F" w14:textId="77777777" w:rsidR="00E000F7" w:rsidRPr="003D4C2B" w:rsidRDefault="00E000F7" w:rsidP="00E000F7">
      <w:pPr>
        <w:ind w:firstLine="566"/>
      </w:pPr>
      <w:r w:rsidRPr="003D4C2B">
        <w:t>Cơ cấu kinh tế của địa phương thời gian qua chuyển dịch theo hướng tích cực, giảm dần tỷ trọng nông nghiệp truyền thống, tăng nhanh lĩnh vực thương mại, dịch vụ và công nghiệp - xây dựng. Các hoạt động mua bán, vận tải, dịch vụ dân sinh phát triển ngày càng đa dạng; nhiều cơ sở sản xuất, kinh doanh được mở rộng quy mô, góp phần giải quyết việc làm và nâng cao thu nhập cho người dân. Đồng thời, địa phương vẫn duy trì thế mạnh về sản xuất nông nghiệp hàng hóa, tạo nền tảng ổn định cho phát triển kinh tế bền vững.</w:t>
      </w:r>
    </w:p>
    <w:p w14:paraId="42D0ED6A" w14:textId="77777777" w:rsidR="00E000F7" w:rsidRPr="003D4C2B" w:rsidRDefault="00E000F7" w:rsidP="00E000F7">
      <w:pPr>
        <w:ind w:firstLine="566"/>
      </w:pPr>
      <w:r w:rsidRPr="003D4C2B">
        <w:t>Hệ thống kết cấu hạ tầng trên địa bàn từng bước được đầu tư hoàn thiện. Các tuyến giao thông kết nối khu vực được nâng cấp, tạo thuận lợi cho lưu thông hàng hóa và phát triển đô thị; hệ thống điện, cấp nước, thông tin liên lạc và các công trình hạ tầng kỹ thuật cơ bản đáp ứng yêu cầu phát triển hiện nay. Bên cạnh đó, mạng lưới trường học, cơ sở y tế, văn hóa, thể thao và các công trình công cộng khác tiếp tục được quan tâm đầu tư, phục vụ ngày càng tốt hơn nhu cầu của Nhân dân.</w:t>
      </w:r>
    </w:p>
    <w:p w14:paraId="6430CF93" w14:textId="77777777" w:rsidR="00E000F7" w:rsidRPr="003D4C2B" w:rsidRDefault="00E000F7" w:rsidP="00E000F7">
      <w:pPr>
        <w:ind w:firstLine="566"/>
      </w:pPr>
      <w:r w:rsidRPr="003D4C2B">
        <w:t>Tuy nhiên, cùng với quá trình mở rộng dân cư và phát triển đô thị, yêu cầu về quản lý đất đai, quy hoạch xây dựng, chỉnh trang đô thị và bảo vệ môi trường ngày càng cao. Mô hình quản lý hành chính nông thôn hiện nay đã bộc lộ một số hạn chế, chưa đáp ứng đầy đủ yêu cầu quản lý đối với khu vực đang phát triển theo hướng đô thị. Vì vậy, việc thành lập phường Mỏ Cày là cần thiết để nâng cao hiệu lực, hiệu quả quản lý nhà nước, đồng thời tạo điều kiện triển khai đồng bộ các giải pháp phát triển đô thị trong thời gian tới.</w:t>
      </w:r>
    </w:p>
    <w:p w14:paraId="3F9832F6" w14:textId="77777777" w:rsidR="00E000F7" w:rsidRPr="003D4C2B" w:rsidRDefault="00E000F7" w:rsidP="00E000F7">
      <w:pPr>
        <w:ind w:firstLine="566"/>
      </w:pPr>
      <w:r w:rsidRPr="003D4C2B">
        <w:t xml:space="preserve">Theo định hướng quy hoạch của tỉnh Vĩnh Long, khu vực Mỏ Cày được xác </w:t>
      </w:r>
      <w:r w:rsidRPr="003D4C2B">
        <w:lastRenderedPageBreak/>
        <w:t>định là địa bàn có tiềm năng phát triển thương mại, dịch vụ và đô thị vệ tinh của khu vực. Việc thành lập phường Mỏ Cày sẽ tạo cơ sở pháp lý quan trọng để huy động nguồn lực đầu tư, phát triển hạ tầng kỹ thuật, chỉnh trang đô thị và mở rộng không gian phát triển kinh tế - xã hội.</w:t>
      </w:r>
    </w:p>
    <w:p w14:paraId="5CFAB11F" w14:textId="4CE7EB2C" w:rsidR="00FC57BD" w:rsidRPr="003D4C2B" w:rsidRDefault="00E000F7" w:rsidP="00E000F7">
      <w:pPr>
        <w:ind w:firstLine="566"/>
      </w:pPr>
      <w:r w:rsidRPr="003D4C2B">
        <w:t>Nhìn chung, khu vực Mỏ Cày hiện đã hội tụ nhiều điều kiện thuận lợi để hình thành đơn vị hành chính đô thị. Việc thành lập phường Mỏ Cày là phù hợp với yêu cầu phát triển thực tiễn, đáp ứng định hướng phát triển của tỉnh và góp phần xây dựng địa phương phát triển theo hướng văn minh, hiện đại, bền vững trong thời gian tới</w:t>
      </w:r>
      <w:r w:rsidR="00A65413" w:rsidRPr="003D4C2B">
        <w:t>.</w:t>
      </w:r>
    </w:p>
    <w:p w14:paraId="6F2AEB94" w14:textId="67812043" w:rsidR="00B0460E" w:rsidRPr="003D4C2B" w:rsidRDefault="00B0460E" w:rsidP="00FC57BD">
      <w:pPr>
        <w:pStyle w:val="Heading1"/>
        <w:rPr>
          <w:lang w:val="vi"/>
        </w:rPr>
      </w:pPr>
      <w:r w:rsidRPr="003D4C2B">
        <w:rPr>
          <w:lang w:val="vi"/>
        </w:rPr>
        <w:t xml:space="preserve">III. HIỆN TRẠNG TỈNH VĨNH LONG VÀ XÃ </w:t>
      </w:r>
      <w:r w:rsidR="00E000F7" w:rsidRPr="003D4C2B">
        <w:rPr>
          <w:lang w:val="vi"/>
        </w:rPr>
        <w:t>MỎ CÀY</w:t>
      </w:r>
    </w:p>
    <w:p w14:paraId="57F55500" w14:textId="77777777" w:rsidR="00B0460E" w:rsidRPr="003D4C2B" w:rsidRDefault="00B0460E" w:rsidP="00B0460E">
      <w:pPr>
        <w:pStyle w:val="Heading2"/>
        <w:rPr>
          <w:lang w:val="vi"/>
        </w:rPr>
      </w:pPr>
      <w:r w:rsidRPr="003D4C2B">
        <w:rPr>
          <w:lang w:val="vi"/>
        </w:rPr>
        <w:t>1. Tỉnh Vĩnh Long</w:t>
      </w:r>
    </w:p>
    <w:p w14:paraId="79CAD80F" w14:textId="77777777" w:rsidR="00B0460E" w:rsidRPr="003D4C2B" w:rsidRDefault="00B0460E" w:rsidP="00B0460E">
      <w:pPr>
        <w:ind w:firstLine="566"/>
      </w:pPr>
      <w:r w:rsidRPr="003D4C2B">
        <w:t>Tỉnh Vĩnh Long có diện tích tự nhiên là 6.296,20 km</w:t>
      </w:r>
      <w:r w:rsidRPr="003D4C2B">
        <w:rPr>
          <w:vertAlign w:val="superscript"/>
        </w:rPr>
        <w:t>2</w:t>
      </w:r>
      <w:r w:rsidRPr="003D4C2B">
        <w:t>; quy mô dân số là 4.257.581 người; có 124 đơn vị hành chính cấp xã, bao gồm 19 phường và 105 xã.</w:t>
      </w:r>
    </w:p>
    <w:p w14:paraId="75CFA956" w14:textId="417611B4" w:rsidR="00B0460E" w:rsidRPr="003D4C2B" w:rsidRDefault="00B0460E" w:rsidP="00B0460E">
      <w:pPr>
        <w:pStyle w:val="Heading2"/>
        <w:rPr>
          <w:lang w:val="vi"/>
        </w:rPr>
      </w:pPr>
      <w:r w:rsidRPr="003D4C2B">
        <w:rPr>
          <w:lang w:val="vi"/>
        </w:rPr>
        <w:t xml:space="preserve">2. Hiện trạng xã </w:t>
      </w:r>
      <w:r w:rsidR="00E000F7" w:rsidRPr="003D4C2B">
        <w:rPr>
          <w:lang w:val="vi"/>
        </w:rPr>
        <w:t>Mỏ Cày</w:t>
      </w:r>
    </w:p>
    <w:p w14:paraId="7907B93A" w14:textId="77777777" w:rsidR="00E000F7" w:rsidRPr="003D4C2B" w:rsidRDefault="00E000F7" w:rsidP="00E000F7">
      <w:pPr>
        <w:ind w:firstLine="566"/>
      </w:pPr>
      <w:r w:rsidRPr="003D4C2B">
        <w:t xml:space="preserve">Xã Mỏ Cày có diện tích tự nhiên là 38,89 km², quy mô dân số là 50.338 người. </w:t>
      </w:r>
    </w:p>
    <w:p w14:paraId="57E7B763" w14:textId="3859CDFF" w:rsidR="00A65413" w:rsidRPr="003D4C2B" w:rsidRDefault="00E000F7" w:rsidP="00E000F7">
      <w:pPr>
        <w:ind w:firstLine="566"/>
      </w:pPr>
      <w:r w:rsidRPr="003D4C2B">
        <w:t>Địa giới hành chính xã Mỏ Cày: Đông giáp xã Đồng Khởi; Tây giáp xã Nhuận Phú Tân; Nam giáp các xã Thành Thới và An Định; Bắc giáp xã Tân Thành Bình</w:t>
      </w:r>
      <w:r w:rsidR="00A65413" w:rsidRPr="003D4C2B">
        <w:t>.</w:t>
      </w:r>
    </w:p>
    <w:p w14:paraId="4AE679B4" w14:textId="622C488A" w:rsidR="00B0460E" w:rsidRPr="003D4C2B" w:rsidRDefault="00B0460E" w:rsidP="00A65413">
      <w:pPr>
        <w:pStyle w:val="Heading1"/>
        <w:rPr>
          <w:lang w:val="vi"/>
        </w:rPr>
      </w:pPr>
      <w:r w:rsidRPr="003D4C2B">
        <w:rPr>
          <w:lang w:val="vi"/>
        </w:rPr>
        <w:t>IV. ĐIỀU KIỆN THÀNH LẬP PHƯỜNG</w:t>
      </w:r>
    </w:p>
    <w:p w14:paraId="766B4B47" w14:textId="77777777" w:rsidR="00B0460E" w:rsidRPr="003D4C2B" w:rsidRDefault="00B0460E" w:rsidP="00B0460E">
      <w:pPr>
        <w:ind w:firstLine="566"/>
      </w:pPr>
      <w:r w:rsidRPr="003D4C2B">
        <w:t>Việc thành lập phường thuộc tỉnh Vĩnh Long đảm bảo theo quy định về điều kiện thành lập đơn vị hành chính theo khoản 2 Điều 8 Luật Tổ chức chính quyền địa phương năm 2025, cụ thể:</w:t>
      </w:r>
    </w:p>
    <w:p w14:paraId="0D33DBCE" w14:textId="77777777" w:rsidR="00B0460E" w:rsidRPr="003D4C2B" w:rsidRDefault="00B0460E" w:rsidP="00B0460E">
      <w:pPr>
        <w:ind w:firstLine="566"/>
      </w:pPr>
      <w:r w:rsidRPr="003D4C2B">
        <w:t>a) Điều kiện: “Phù hợp quy hoạch có liên quan đã được cấp có thẩm quyền phê duyệt”</w:t>
      </w:r>
    </w:p>
    <w:p w14:paraId="19842ECD" w14:textId="77777777" w:rsidR="00B0460E" w:rsidRPr="003D4C2B" w:rsidRDefault="00B0460E" w:rsidP="00B0460E">
      <w:pPr>
        <w:ind w:firstLine="566"/>
      </w:pPr>
      <w:r w:rsidRPr="003D4C2B">
        <w:t>Việc thành lập phường thuộc tỉnh Vĩnh Long là phù hợp với định hướng phát triển không gian, định hướng phát triển hệ thống đô thị của tỉnh Vĩnh Long, phù hợp với Quy hoạch tỉnh Vĩnh Long thời kỳ 2021-2030, tầm nhìn đến 2050 được phê duyệt tại Quyết định số 368/QĐ-UBND ngày 15/01/2026.</w:t>
      </w:r>
    </w:p>
    <w:p w14:paraId="7F043474" w14:textId="77777777" w:rsidR="00B0460E" w:rsidRPr="003D4C2B" w:rsidRDefault="00B0460E" w:rsidP="00B0460E">
      <w:pPr>
        <w:ind w:firstLine="566"/>
      </w:pPr>
      <w:r w:rsidRPr="003D4C2B">
        <w:t xml:space="preserve"> b) Điều kiện: “Bảo đảm lợi ích chung của quốc gia, hiệu lực, hiệu quả quản lý nhà nước của chính quyền địa phương các cấp; phát huy tiềm năng, lợi thế nhằm thúc đẩy phát triển kinh tế - xã hội của đất nước và của từng địa phương”</w:t>
      </w:r>
    </w:p>
    <w:p w14:paraId="5F5D3901" w14:textId="7384C7A8" w:rsidR="00B0460E" w:rsidRPr="003D4C2B" w:rsidRDefault="00B0460E" w:rsidP="00B0460E">
      <w:pPr>
        <w:ind w:firstLine="566"/>
      </w:pPr>
      <w:r w:rsidRPr="003D4C2B">
        <w:t xml:space="preserve">Việc thành lập phường không chỉ tạo điều kiện thúc đẩy phát triển kinh tế - xã hội của xã mà còn góp phần thúc đẩy sự phát triển chung của khu vực tỉnh Vĩnh Long. Sau khi thành lập phường, với vị trí thuận lợi phường sẽ là đầu tàu thúc đẩy </w:t>
      </w:r>
      <w:r w:rsidRPr="003D4C2B">
        <w:lastRenderedPageBreak/>
        <w:t>kinh tế - xã hội của tiểu vùng trong tỉnh.</w:t>
      </w:r>
    </w:p>
    <w:p w14:paraId="1660C6BD" w14:textId="77777777" w:rsidR="00B0460E" w:rsidRPr="003D4C2B" w:rsidRDefault="00B0460E" w:rsidP="00B0460E">
      <w:pPr>
        <w:ind w:firstLine="566"/>
      </w:pPr>
      <w:r w:rsidRPr="003D4C2B">
        <w:t>Mặt khác, kế thừa những thành tựu đã đạt được trong quản lý nhà nước, cải cách hành chính của xã thời gian qua, sau khi thành lập phường, bộ máy nhà nước của phường sẽ phát huy hơn nữa hiệu lực, hiệu quả vốn có, nâng cao chất lượng dịch vụ công, phục vụ người dân và doanh nghiệp ngày càng tốt hơn, xứng tầm với định hướng xây dựng chính quyền đô thị ngày càng văn minh, hiện đại.</w:t>
      </w:r>
    </w:p>
    <w:p w14:paraId="19B4FF4E" w14:textId="77777777" w:rsidR="00B0460E" w:rsidRPr="003D4C2B" w:rsidRDefault="00B0460E" w:rsidP="00B0460E">
      <w:pPr>
        <w:ind w:firstLine="566"/>
      </w:pPr>
      <w:r w:rsidRPr="003D4C2B">
        <w:t>c) Điều kiện: “Bảo đảm yêu cầu về quốc phòng, an ninh, trật tự, an toàn xã hội”</w:t>
      </w:r>
    </w:p>
    <w:p w14:paraId="4FB3011E" w14:textId="77777777" w:rsidR="00B0460E" w:rsidRPr="003D4C2B" w:rsidRDefault="00B0460E" w:rsidP="00B0460E">
      <w:pPr>
        <w:ind w:firstLine="566"/>
      </w:pPr>
      <w:r w:rsidRPr="003D4C2B">
        <w:t>Việc thành lập phường thuộc tỉnh Vĩnh Long không ảnh hưởng đến tình hình Quốc phòng an ninh của địa phương mà còn giúp vị thế, bộ mặt của địa phương nâng lên một tầm cao mới, từ đó giúp tiềm lực về quân sự, quốc phòng ngày càng được tăng cường, nâng cao, củng cố, xây dựng vững chắc khu vực phòng thủ, góp phần xây dựng thế trận phòng thủ tỉnh vững chắc cũng như nâng cao chất lượng, hiệu quả các hoạt động quân sự, quốc phòng.</w:t>
      </w:r>
    </w:p>
    <w:p w14:paraId="213EB511" w14:textId="47EC7709" w:rsidR="00B0460E" w:rsidRPr="003D4C2B" w:rsidRDefault="00B0460E" w:rsidP="00B0460E">
      <w:pPr>
        <w:ind w:firstLine="566"/>
      </w:pPr>
      <w:r w:rsidRPr="003D4C2B">
        <w:t>Đối với việc đảm bảo tình hình an ninh, trật tự, an toàn xã hội. Hiện nay, khu vực dự kiến thành lập phường tuy có mật độ dân số đông nhưng vẫn được tổ chức theo mô hình chính quyền nông thôn. Vì vậy, khi thành lập phường, địa phương sẽ tổ chức, bố trí lại lực lượng công an cùng các lực lượng đảm bảo an ninh, trật tự, an toàn xã hội (trên cơ sở sử dụng lực công an xã hiện hữu), qua đó giúp nâng cao hơn nữa hiệu quả đảm bảo an ninh, trật tự, an toàn xã hội, đem lại cuộc sống ổn định, bình yên cho người dân và doanh nghiệp yên tâm sinh sống, kinh doanh.</w:t>
      </w:r>
    </w:p>
    <w:p w14:paraId="7DB5067E" w14:textId="77777777" w:rsidR="00B0460E" w:rsidRPr="003D4C2B" w:rsidRDefault="00B0460E" w:rsidP="00B0460E">
      <w:pPr>
        <w:ind w:firstLine="566"/>
      </w:pPr>
      <w:r w:rsidRPr="003D4C2B">
        <w:t>d) Điều kiện: “Bảo đảm đoàn kết, bình đẳng các dân tộc, phù hợp với các yếu tố truyền thống lịch sử, văn hóa của địa phương; tạo thuận lợi cho Nhân dân”</w:t>
      </w:r>
    </w:p>
    <w:p w14:paraId="24C70E41" w14:textId="1EAFDB6C" w:rsidR="00B0460E" w:rsidRPr="003D4C2B" w:rsidRDefault="00B0460E" w:rsidP="00B0460E">
      <w:pPr>
        <w:ind w:firstLine="566"/>
      </w:pPr>
      <w:r w:rsidRPr="003D4C2B">
        <w:t>Trong quá trình triển khai thực hiện, việc thành lập phường thuộc tỉnh Vĩnh Long luôn được sự đồng thuận, ủng hộ cao của quần chúng Nhân dân. Thành lập phường là nguyện vọng của Đảng bộ, chính quyền, Nhân dân xã nói riêng và của tỉnh Vĩnh Long nói chung, bảo đảm đoàn kết dân tộc, phù hợp với các yếu tố lịch sử, truyền thống, văn hóa của địa phương. Qua khảo sát ý kiến của nhân dân trên địa bàn xã, đại đa số nhân dân đều thống nhất cao với việc thành lập phường.</w:t>
      </w:r>
    </w:p>
    <w:p w14:paraId="121E26AE" w14:textId="5B8175FB" w:rsidR="00B0460E" w:rsidRPr="003D4C2B" w:rsidRDefault="00B0460E" w:rsidP="00B0460E">
      <w:pPr>
        <w:pStyle w:val="Heading1"/>
        <w:rPr>
          <w:lang w:val="vi"/>
        </w:rPr>
      </w:pPr>
      <w:r w:rsidRPr="003D4C2B">
        <w:rPr>
          <w:lang w:val="vi"/>
        </w:rPr>
        <w:t>V. TIÊU CHUẨN THÀNH LẬP PHƯỜNG</w:t>
      </w:r>
    </w:p>
    <w:p w14:paraId="12129651" w14:textId="05582043" w:rsidR="00B0460E" w:rsidRPr="003D4C2B" w:rsidRDefault="00B0460E" w:rsidP="00B0460E">
      <w:pPr>
        <w:ind w:firstLine="566"/>
      </w:pPr>
      <w:r w:rsidRPr="003D4C2B">
        <w:t>Đối chiếu tiêu chuẩn quy định tại Nghị quyết số 112/2025/UBTVQH13 về tiêu chuẩn đơn vị hành chính</w:t>
      </w:r>
      <w:r w:rsidR="00E75467" w:rsidRPr="003D4C2B">
        <w:t xml:space="preserve"> </w:t>
      </w:r>
      <w:r w:rsidRPr="003D4C2B">
        <w:t xml:space="preserve">xã </w:t>
      </w:r>
      <w:r w:rsidR="00E000F7" w:rsidRPr="003D4C2B">
        <w:t>Mỏ Cày</w:t>
      </w:r>
      <w:r w:rsidRPr="003D4C2B">
        <w:t>, đã đáp ứng được 5/5 tiêu chuẩn để thành lập phường, cụ thể như sau:</w:t>
      </w:r>
    </w:p>
    <w:p w14:paraId="07BA9565" w14:textId="1C0200D6" w:rsidR="00E000F7" w:rsidRPr="003D4C2B" w:rsidRDefault="00E000F7" w:rsidP="00E000F7">
      <w:pPr>
        <w:tabs>
          <w:tab w:val="left" w:pos="3125"/>
        </w:tabs>
      </w:pPr>
      <w:r w:rsidRPr="003D4C2B">
        <w:tab/>
      </w:r>
    </w:p>
    <w:tbl>
      <w:tblPr>
        <w:tblW w:w="9915" w:type="dxa"/>
        <w:tblLayout w:type="fixed"/>
        <w:tblCellMar>
          <w:left w:w="0" w:type="dxa"/>
          <w:right w:w="0" w:type="dxa"/>
        </w:tblCellMar>
        <w:tblLook w:val="04A0" w:firstRow="1" w:lastRow="0" w:firstColumn="1" w:lastColumn="0" w:noHBand="0" w:noVBand="1"/>
      </w:tblPr>
      <w:tblGrid>
        <w:gridCol w:w="418"/>
        <w:gridCol w:w="2126"/>
        <w:gridCol w:w="2977"/>
        <w:gridCol w:w="2099"/>
        <w:gridCol w:w="2295"/>
      </w:tblGrid>
      <w:tr w:rsidR="003D4C2B" w:rsidRPr="003D4C2B" w14:paraId="07AD052F" w14:textId="77777777" w:rsidTr="00A32926">
        <w:trPr>
          <w:trHeight w:val="20"/>
          <w:tblHeader/>
        </w:trPr>
        <w:tc>
          <w:tcPr>
            <w:tcW w:w="418"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38AA248C" w14:textId="77777777" w:rsidR="00B0460E" w:rsidRPr="003D4C2B" w:rsidRDefault="00B0460E" w:rsidP="00B0460E">
            <w:pPr>
              <w:ind w:firstLine="0"/>
              <w:jc w:val="center"/>
              <w:rPr>
                <w:b/>
                <w:bCs/>
                <w:sz w:val="24"/>
                <w:szCs w:val="24"/>
                <w:lang w:val="en-US"/>
              </w:rPr>
            </w:pPr>
            <w:r w:rsidRPr="003D4C2B">
              <w:rPr>
                <w:b/>
                <w:bCs/>
                <w:sz w:val="24"/>
                <w:szCs w:val="24"/>
                <w:lang w:val="en-US"/>
              </w:rPr>
              <w:lastRenderedPageBreak/>
              <w:t>TT</w:t>
            </w:r>
          </w:p>
        </w:tc>
        <w:tc>
          <w:tcPr>
            <w:tcW w:w="2126"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7248D344" w14:textId="2BAF051C" w:rsidR="00B0460E" w:rsidRPr="003D4C2B" w:rsidRDefault="00B0460E" w:rsidP="00B0460E">
            <w:pPr>
              <w:ind w:firstLine="0"/>
              <w:jc w:val="center"/>
              <w:rPr>
                <w:b/>
                <w:bCs/>
                <w:sz w:val="24"/>
                <w:szCs w:val="24"/>
                <w:lang w:val="en-US"/>
              </w:rPr>
            </w:pPr>
            <w:r w:rsidRPr="003D4C2B">
              <w:rPr>
                <w:b/>
                <w:bCs/>
                <w:sz w:val="24"/>
                <w:szCs w:val="24"/>
                <w:lang w:val="en-US"/>
              </w:rPr>
              <w:t>Tiêu chuẩn</w:t>
            </w:r>
          </w:p>
        </w:tc>
        <w:tc>
          <w:tcPr>
            <w:tcW w:w="2977" w:type="dxa"/>
            <w:tcBorders>
              <w:top w:val="single" w:sz="6" w:space="0" w:color="000000"/>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6EDDD1AF" w14:textId="77777777" w:rsidR="00B0460E" w:rsidRPr="003D4C2B" w:rsidRDefault="00B0460E" w:rsidP="00B0460E">
            <w:pPr>
              <w:ind w:firstLine="0"/>
              <w:jc w:val="center"/>
              <w:rPr>
                <w:b/>
                <w:bCs/>
                <w:sz w:val="24"/>
                <w:szCs w:val="24"/>
                <w:lang w:val="en-US"/>
              </w:rPr>
            </w:pPr>
            <w:r w:rsidRPr="003D4C2B">
              <w:rPr>
                <w:b/>
                <w:bCs/>
                <w:sz w:val="24"/>
                <w:szCs w:val="24"/>
                <w:lang w:val="en-US"/>
              </w:rPr>
              <w:t>Điều kiện đạt chuẩn theo quy định</w:t>
            </w:r>
          </w:p>
        </w:tc>
        <w:tc>
          <w:tcPr>
            <w:tcW w:w="4394" w:type="dxa"/>
            <w:gridSpan w:val="2"/>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EC21BB0" w14:textId="663B0EF0" w:rsidR="00B0460E" w:rsidRPr="003D4C2B" w:rsidRDefault="00B0460E" w:rsidP="00B0460E">
            <w:pPr>
              <w:ind w:firstLine="0"/>
              <w:jc w:val="center"/>
              <w:rPr>
                <w:b/>
                <w:bCs/>
                <w:sz w:val="24"/>
                <w:szCs w:val="24"/>
                <w:lang w:val="en-US"/>
              </w:rPr>
            </w:pPr>
            <w:r w:rsidRPr="003D4C2B">
              <w:rPr>
                <w:b/>
                <w:bCs/>
                <w:sz w:val="24"/>
                <w:szCs w:val="24"/>
                <w:lang w:val="en-US"/>
              </w:rPr>
              <w:t xml:space="preserve">Xã </w:t>
            </w:r>
            <w:r w:rsidR="00E000F7" w:rsidRPr="003D4C2B">
              <w:rPr>
                <w:b/>
                <w:bCs/>
                <w:sz w:val="24"/>
                <w:szCs w:val="24"/>
                <w:lang w:val="en-US"/>
              </w:rPr>
              <w:t>Mỏ Cày</w:t>
            </w:r>
          </w:p>
        </w:tc>
      </w:tr>
      <w:tr w:rsidR="003D4C2B" w:rsidRPr="003D4C2B" w14:paraId="7614ADB9"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3AC922D" w14:textId="77777777" w:rsidR="00E000F7" w:rsidRPr="003D4C2B" w:rsidRDefault="00E000F7" w:rsidP="00E000F7">
            <w:pPr>
              <w:ind w:firstLine="0"/>
              <w:jc w:val="center"/>
              <w:rPr>
                <w:b/>
                <w:bCs/>
                <w:sz w:val="24"/>
                <w:szCs w:val="24"/>
                <w:lang w:val="en-US"/>
              </w:rPr>
            </w:pPr>
            <w:r w:rsidRPr="003D4C2B">
              <w:rPr>
                <w:b/>
                <w:bCs/>
                <w:sz w:val="24"/>
                <w:szCs w:val="24"/>
                <w:lang w:val="en-US"/>
              </w:rPr>
              <w:t>1</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E70815E" w14:textId="77777777" w:rsidR="00E000F7" w:rsidRPr="003D4C2B" w:rsidRDefault="00E000F7" w:rsidP="00E000F7">
            <w:pPr>
              <w:ind w:firstLine="0"/>
              <w:jc w:val="center"/>
              <w:rPr>
                <w:b/>
                <w:bCs/>
                <w:sz w:val="24"/>
                <w:szCs w:val="24"/>
                <w:lang w:val="en-US"/>
              </w:rPr>
            </w:pPr>
            <w:r w:rsidRPr="003D4C2B">
              <w:rPr>
                <w:b/>
                <w:bCs/>
                <w:sz w:val="24"/>
                <w:szCs w:val="24"/>
                <w:lang w:val="en-US"/>
              </w:rPr>
              <w:t>Quy mô dân số</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1FD5C2" w14:textId="77777777" w:rsidR="00E000F7" w:rsidRPr="003D4C2B" w:rsidRDefault="00E000F7" w:rsidP="00E000F7">
            <w:pPr>
              <w:ind w:firstLine="0"/>
              <w:jc w:val="center"/>
              <w:rPr>
                <w:sz w:val="24"/>
                <w:szCs w:val="24"/>
                <w:lang w:val="en-US"/>
              </w:rPr>
            </w:pPr>
            <w:r w:rsidRPr="003D4C2B">
              <w:rPr>
                <w:sz w:val="24"/>
                <w:szCs w:val="24"/>
                <w:lang w:val="en-US"/>
              </w:rPr>
              <w:t>21.000 người</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582873" w14:textId="400D6704" w:rsidR="00E000F7" w:rsidRPr="003D4C2B" w:rsidRDefault="00E000F7" w:rsidP="00E000F7">
            <w:pPr>
              <w:ind w:firstLine="0"/>
              <w:jc w:val="center"/>
              <w:rPr>
                <w:sz w:val="24"/>
                <w:szCs w:val="24"/>
                <w:lang w:val="en-US"/>
              </w:rPr>
            </w:pPr>
            <w:r w:rsidRPr="003D4C2B">
              <w:rPr>
                <w:sz w:val="24"/>
                <w:szCs w:val="24"/>
              </w:rPr>
              <w:t>50.338</w:t>
            </w:r>
          </w:p>
        </w:tc>
      </w:tr>
      <w:tr w:rsidR="003D4C2B" w:rsidRPr="003D4C2B" w14:paraId="62C4695D"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2598C45" w14:textId="77777777" w:rsidR="00E000F7" w:rsidRPr="003D4C2B" w:rsidRDefault="00E000F7" w:rsidP="00E000F7">
            <w:pPr>
              <w:ind w:firstLine="0"/>
              <w:jc w:val="center"/>
              <w:rPr>
                <w:b/>
                <w:bCs/>
                <w:sz w:val="24"/>
                <w:szCs w:val="24"/>
                <w:lang w:val="en-US"/>
              </w:rPr>
            </w:pPr>
            <w:r w:rsidRPr="003D4C2B">
              <w:rPr>
                <w:b/>
                <w:bCs/>
                <w:sz w:val="24"/>
                <w:szCs w:val="24"/>
                <w:lang w:val="en-US"/>
              </w:rPr>
              <w:t>2</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66E280" w14:textId="77777777" w:rsidR="00E000F7" w:rsidRPr="003D4C2B" w:rsidRDefault="00E000F7" w:rsidP="00E000F7">
            <w:pPr>
              <w:ind w:firstLine="0"/>
              <w:jc w:val="center"/>
              <w:rPr>
                <w:b/>
                <w:bCs/>
                <w:sz w:val="24"/>
                <w:szCs w:val="24"/>
                <w:lang w:val="en-US"/>
              </w:rPr>
            </w:pPr>
            <w:r w:rsidRPr="003D4C2B">
              <w:rPr>
                <w:b/>
                <w:bCs/>
                <w:sz w:val="24"/>
                <w:szCs w:val="24"/>
                <w:lang w:val="en-US"/>
              </w:rPr>
              <w:t>Diện tích tự nhiên</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0BFB27" w14:textId="77777777" w:rsidR="00E000F7" w:rsidRPr="003D4C2B" w:rsidRDefault="00E000F7" w:rsidP="00E000F7">
            <w:pPr>
              <w:ind w:firstLine="0"/>
              <w:jc w:val="center"/>
              <w:rPr>
                <w:sz w:val="24"/>
                <w:szCs w:val="24"/>
                <w:lang w:val="en-US"/>
              </w:rPr>
            </w:pPr>
            <w:r w:rsidRPr="003D4C2B">
              <w:rPr>
                <w:sz w:val="24"/>
                <w:szCs w:val="24"/>
                <w:lang w:val="en-US"/>
              </w:rPr>
              <w:t>5,5 km²</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4AED8EB" w14:textId="78D6DB4F" w:rsidR="00E000F7" w:rsidRPr="003D4C2B" w:rsidRDefault="00E000F7" w:rsidP="00E000F7">
            <w:pPr>
              <w:ind w:firstLine="0"/>
              <w:jc w:val="center"/>
              <w:rPr>
                <w:sz w:val="24"/>
                <w:szCs w:val="24"/>
                <w:lang w:val="en-US"/>
              </w:rPr>
            </w:pPr>
            <w:r w:rsidRPr="003D4C2B">
              <w:rPr>
                <w:sz w:val="24"/>
                <w:szCs w:val="24"/>
              </w:rPr>
              <w:t>38,89</w:t>
            </w:r>
          </w:p>
        </w:tc>
      </w:tr>
      <w:tr w:rsidR="003D4C2B" w:rsidRPr="003D4C2B" w14:paraId="690190E8"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240B0541" w14:textId="77777777" w:rsidR="00B0460E" w:rsidRPr="003D4C2B" w:rsidRDefault="00B0460E" w:rsidP="00B0460E">
            <w:pPr>
              <w:ind w:firstLine="0"/>
              <w:jc w:val="center"/>
              <w:rPr>
                <w:b/>
                <w:bCs/>
                <w:sz w:val="24"/>
                <w:szCs w:val="24"/>
                <w:lang w:val="en-US"/>
              </w:rPr>
            </w:pPr>
            <w:r w:rsidRPr="003D4C2B">
              <w:rPr>
                <w:b/>
                <w:bCs/>
                <w:sz w:val="24"/>
                <w:szCs w:val="24"/>
                <w:lang w:val="en-US"/>
              </w:rPr>
              <w:t>3</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D55ABD" w14:textId="7463D66A" w:rsidR="00B0460E" w:rsidRPr="003D4C2B" w:rsidRDefault="00B0460E" w:rsidP="00B0460E">
            <w:pPr>
              <w:ind w:firstLine="0"/>
              <w:jc w:val="center"/>
              <w:rPr>
                <w:b/>
                <w:bCs/>
                <w:sz w:val="24"/>
                <w:szCs w:val="24"/>
                <w:lang w:val="en-US"/>
              </w:rPr>
            </w:pPr>
            <w:r w:rsidRPr="003D4C2B">
              <w:rPr>
                <w:b/>
                <w:bCs/>
                <w:sz w:val="24"/>
                <w:szCs w:val="24"/>
                <w:lang w:val="en-US"/>
              </w:rPr>
              <w:t>Vị trí, chức năng</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E49C4E" w14:textId="55E3784C" w:rsidR="005E2753" w:rsidRPr="005E2753" w:rsidRDefault="005E2753" w:rsidP="005E2753">
            <w:pPr>
              <w:ind w:firstLine="0"/>
              <w:rPr>
                <w:kern w:val="2"/>
                <w:sz w:val="20"/>
                <w:szCs w:val="20"/>
                <w:lang w:val="en-US"/>
                <w14:ligatures w14:val="standardContextual"/>
              </w:rPr>
            </w:pPr>
            <w:r w:rsidRPr="005E2753">
              <w:rPr>
                <w:kern w:val="2"/>
                <w:sz w:val="20"/>
                <w:szCs w:val="20"/>
                <w:lang w:val="en-US"/>
                <w14:ligatures w14:val="standardContextual"/>
              </w:rPr>
              <w:t>Đ</w:t>
            </w:r>
            <w:r w:rsidRPr="005E2753">
              <w:rPr>
                <w:kern w:val="2"/>
                <w:sz w:val="20"/>
                <w:szCs w:val="20"/>
                <w:lang w:val="vi-VN"/>
                <w14:ligatures w14:val="standardContextual"/>
              </w:rPr>
              <w:t>ược xác định cụ thể trong quy hoạch hoặc định hướng đã được phê duyệt là trung tâm tổng hợp hoặc trung tâm chuyên ngành hoặc cấp tỉnh hoặc cấp tiểu vùng trong tỉnh, thành phố, có vai trò cung cấp sự phát triển kinh tế - xã hội của tỉnh, thành phố hoặc tiểu vùng trong tỉnh, thành phố</w:t>
            </w:r>
          </w:p>
          <w:p w14:paraId="7506F37A" w14:textId="33D34711" w:rsidR="00B0460E" w:rsidRPr="003D4C2B" w:rsidRDefault="00B0460E" w:rsidP="00B0460E">
            <w:pPr>
              <w:ind w:firstLine="0"/>
              <w:jc w:val="center"/>
              <w:rPr>
                <w:sz w:val="24"/>
                <w:szCs w:val="24"/>
                <w:lang w:val="en-US"/>
              </w:rPr>
            </w:pP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DD19C25" w14:textId="090078D6" w:rsidR="003D4C2B" w:rsidRPr="003D4C2B" w:rsidRDefault="003D4C2B" w:rsidP="003D4C2B">
            <w:pPr>
              <w:spacing w:line="240" w:lineRule="auto"/>
              <w:ind w:firstLine="0"/>
              <w:rPr>
                <w:sz w:val="20"/>
                <w:szCs w:val="20"/>
                <w:highlight w:val="white"/>
              </w:rPr>
            </w:pPr>
            <w:r w:rsidRPr="003D4C2B">
              <w:rPr>
                <w:sz w:val="20"/>
                <w:szCs w:val="20"/>
                <w:highlight w:val="white"/>
              </w:rPr>
              <w:t xml:space="preserve">Theo Quyết định số 1648/QÐ-UBND ngày 14/8/2014 phê duyệt Đồ án điều chỉnh quy hoạch chung xây dựng đô thị thị trấn Mỏ Cày, huyện Mỏ Cày Nam, tỉnh Bến Tre giai đoạn đến năm 2030  và Quyết định số 368/QĐ-UBND về điều chỉnh Quy hoạch tỉnh Vĩnh Long thời kỳ 2021–2030, tầm nhìn đến năm 2050, xã Mỏ Cày được xác định là khu vực có vai trò quan trọng trong phát triển kinh tế nông nghiệp, thương mại – dịch vụ và phát huy giá trị lịch sử, văn hóa của địa phương. </w:t>
            </w:r>
          </w:p>
          <w:p w14:paraId="5D600FA1" w14:textId="77777777" w:rsidR="003D4C2B" w:rsidRPr="003D4C2B" w:rsidRDefault="003D4C2B" w:rsidP="003D4C2B">
            <w:pPr>
              <w:spacing w:line="240" w:lineRule="auto"/>
              <w:ind w:firstLine="0"/>
              <w:rPr>
                <w:sz w:val="20"/>
                <w:szCs w:val="20"/>
                <w:highlight w:val="white"/>
              </w:rPr>
            </w:pPr>
            <w:r w:rsidRPr="003D4C2B">
              <w:rPr>
                <w:sz w:val="20"/>
                <w:szCs w:val="20"/>
                <w:highlight w:val="white"/>
              </w:rPr>
              <w:t>Xã Mỏ Cày có vai trò: Trung tâm phát triển nông nghiệp và kinh tế vườn của khu vực; Địa bàn phát triển thương mại, dịch vụ và giao thương nông thôn; Khu vực bảo tồn và phát huy các giá trị lịch sử, văn hóa gắn với truyền thống Đồng Khởi; Đầu mối kết nối giao thông và phát triển hạ tầng phục vụ dân sinh; Địa phương góp phần thúc đẩy xây dựng nông thôn mới, nâng cao đời sống nhân dân và phát triển kinh tế – xã hội bền vững của tỉnh Vĩnh Long.</w:t>
            </w:r>
          </w:p>
          <w:p w14:paraId="26B781F6" w14:textId="28400E1E" w:rsidR="00B0460E" w:rsidRPr="003D4C2B" w:rsidRDefault="00B0460E" w:rsidP="00A65413">
            <w:pPr>
              <w:ind w:firstLine="0"/>
              <w:jc w:val="center"/>
              <w:rPr>
                <w:sz w:val="24"/>
                <w:szCs w:val="24"/>
              </w:rPr>
            </w:pPr>
          </w:p>
        </w:tc>
      </w:tr>
      <w:tr w:rsidR="003D4C2B" w:rsidRPr="003D4C2B" w14:paraId="6A620013"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C210C9D" w14:textId="77777777" w:rsidR="00B0460E" w:rsidRPr="003D4C2B" w:rsidRDefault="00B0460E" w:rsidP="00B0460E">
            <w:pPr>
              <w:ind w:firstLine="0"/>
              <w:jc w:val="center"/>
              <w:rPr>
                <w:b/>
                <w:bCs/>
                <w:sz w:val="24"/>
                <w:szCs w:val="24"/>
                <w:lang w:val="en-US"/>
              </w:rPr>
            </w:pPr>
            <w:r w:rsidRPr="003D4C2B">
              <w:rPr>
                <w:b/>
                <w:bCs/>
                <w:sz w:val="24"/>
                <w:szCs w:val="24"/>
                <w:lang w:val="en-US"/>
              </w:rPr>
              <w:t>4</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AEDD84D" w14:textId="77777777" w:rsidR="00B0460E" w:rsidRPr="003D4C2B" w:rsidRDefault="00B0460E" w:rsidP="00B0460E">
            <w:pPr>
              <w:ind w:firstLine="0"/>
              <w:jc w:val="center"/>
              <w:rPr>
                <w:b/>
                <w:bCs/>
                <w:sz w:val="24"/>
                <w:szCs w:val="24"/>
                <w:lang w:val="en-US"/>
              </w:rPr>
            </w:pPr>
            <w:r w:rsidRPr="003D4C2B">
              <w:rPr>
                <w:b/>
                <w:bCs/>
                <w:sz w:val="24"/>
                <w:szCs w:val="24"/>
                <w:lang w:val="en-US"/>
              </w:rPr>
              <w:t>Tỷ lệ quy mô dân số đô thị trên quy mô dân số của đơn vị hành chính</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18FBFCA" w14:textId="77777777" w:rsidR="00B0460E" w:rsidRPr="003D4C2B" w:rsidRDefault="00B0460E" w:rsidP="00B0460E">
            <w:pPr>
              <w:ind w:firstLine="0"/>
              <w:jc w:val="center"/>
              <w:rPr>
                <w:sz w:val="24"/>
                <w:szCs w:val="24"/>
                <w:lang w:val="en-US"/>
              </w:rPr>
            </w:pPr>
            <w:r w:rsidRPr="003D4C2B">
              <w:rPr>
                <w:sz w:val="24"/>
                <w:szCs w:val="24"/>
                <w:lang w:val="en-US"/>
              </w:rPr>
              <w:t>≥50%</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BD7C99" w14:textId="4ABE3156" w:rsidR="00B0460E" w:rsidRPr="003D4C2B" w:rsidRDefault="00E000F7" w:rsidP="00E000F7">
            <w:pPr>
              <w:ind w:firstLine="0"/>
              <w:jc w:val="center"/>
              <w:rPr>
                <w:sz w:val="24"/>
                <w:szCs w:val="24"/>
                <w:lang w:val="en-US"/>
              </w:rPr>
            </w:pPr>
            <w:r w:rsidRPr="003D4C2B">
              <w:rPr>
                <w:sz w:val="24"/>
                <w:szCs w:val="24"/>
              </w:rPr>
              <w:t>51,92</w:t>
            </w:r>
          </w:p>
        </w:tc>
      </w:tr>
      <w:tr w:rsidR="003D4C2B" w:rsidRPr="003D4C2B" w14:paraId="0B8415FF"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CA9DAE7" w14:textId="77777777" w:rsidR="00B0460E" w:rsidRPr="003D4C2B" w:rsidRDefault="00B0460E" w:rsidP="00B0460E">
            <w:pPr>
              <w:ind w:firstLine="0"/>
              <w:jc w:val="center"/>
              <w:rPr>
                <w:b/>
                <w:bCs/>
                <w:sz w:val="24"/>
                <w:szCs w:val="24"/>
                <w:lang w:val="en-US"/>
              </w:rPr>
            </w:pPr>
            <w:r w:rsidRPr="003D4C2B">
              <w:rPr>
                <w:b/>
                <w:bCs/>
                <w:sz w:val="24"/>
                <w:szCs w:val="24"/>
                <w:lang w:val="en-US"/>
              </w:rPr>
              <w:t>5</w:t>
            </w:r>
          </w:p>
        </w:tc>
        <w:tc>
          <w:tcPr>
            <w:tcW w:w="9497" w:type="dxa"/>
            <w:gridSpan w:val="4"/>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37DF73" w14:textId="57166426" w:rsidR="00B0460E" w:rsidRPr="003D4C2B" w:rsidRDefault="00B0460E" w:rsidP="00FC57BD">
            <w:pPr>
              <w:ind w:firstLine="0"/>
              <w:jc w:val="left"/>
              <w:rPr>
                <w:b/>
                <w:bCs/>
                <w:sz w:val="24"/>
                <w:szCs w:val="24"/>
                <w:lang w:val="en-US"/>
              </w:rPr>
            </w:pPr>
            <w:r w:rsidRPr="003D4C2B">
              <w:rPr>
                <w:b/>
                <w:bCs/>
                <w:sz w:val="24"/>
                <w:szCs w:val="24"/>
                <w:lang w:val="en-US"/>
              </w:rPr>
              <w:t>Cơ sở và trình độ phát triển kinh tế - xã hội</w:t>
            </w:r>
          </w:p>
        </w:tc>
      </w:tr>
      <w:tr w:rsidR="003D4C2B" w:rsidRPr="003D4C2B" w14:paraId="7C23A18D"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54C9B98" w14:textId="77777777" w:rsidR="00A65413" w:rsidRPr="003D4C2B" w:rsidRDefault="00A65413" w:rsidP="00A65413">
            <w:pPr>
              <w:ind w:firstLine="0"/>
              <w:jc w:val="center"/>
              <w:rPr>
                <w:sz w:val="24"/>
                <w:szCs w:val="24"/>
                <w:lang w:val="en-US"/>
              </w:rPr>
            </w:pPr>
            <w:r w:rsidRPr="003D4C2B">
              <w:rPr>
                <w:sz w:val="24"/>
                <w:szCs w:val="24"/>
                <w:lang w:val="en-US"/>
              </w:rPr>
              <w:t>a</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6FA0CC1" w14:textId="7E70E4FF" w:rsidR="00A65413" w:rsidRPr="003D4C2B" w:rsidRDefault="00A65413" w:rsidP="00A65413">
            <w:pPr>
              <w:spacing w:after="0"/>
              <w:ind w:firstLine="0"/>
              <w:jc w:val="center"/>
              <w:rPr>
                <w:sz w:val="24"/>
                <w:szCs w:val="24"/>
                <w:lang w:val="en-US"/>
              </w:rPr>
            </w:pPr>
            <w:r w:rsidRPr="003D4C2B">
              <w:rPr>
                <w:sz w:val="24"/>
                <w:szCs w:val="24"/>
                <w:lang w:val="en-US"/>
              </w:rPr>
              <w:t>Tỷ lệ tổng thu ngân sách địa phương và tổng chi ngân sách địa phương trên địa bàn</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1C82F98" w14:textId="77777777" w:rsidR="00A65413" w:rsidRPr="003D4C2B" w:rsidRDefault="00A65413" w:rsidP="00A65413">
            <w:pPr>
              <w:ind w:firstLine="0"/>
              <w:jc w:val="center"/>
              <w:rPr>
                <w:sz w:val="24"/>
                <w:szCs w:val="24"/>
                <w:lang w:val="en-US"/>
              </w:rPr>
            </w:pPr>
            <w:r w:rsidRPr="003D4C2B">
              <w:rPr>
                <w:sz w:val="24"/>
                <w:szCs w:val="24"/>
                <w:lang w:val="en-US"/>
              </w:rPr>
              <w:t>≥100%</w:t>
            </w:r>
          </w:p>
        </w:tc>
        <w:tc>
          <w:tcPr>
            <w:tcW w:w="4394" w:type="dxa"/>
            <w:gridSpan w:val="2"/>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7D687C6" w14:textId="1241AA3D" w:rsidR="00A65413" w:rsidRPr="003D4C2B" w:rsidRDefault="00A65413" w:rsidP="00A65413">
            <w:pPr>
              <w:ind w:firstLine="0"/>
              <w:jc w:val="center"/>
              <w:rPr>
                <w:sz w:val="24"/>
                <w:szCs w:val="24"/>
                <w:lang w:val="en-US"/>
              </w:rPr>
            </w:pPr>
            <w:r w:rsidRPr="003D4C2B">
              <w:rPr>
                <w:sz w:val="24"/>
                <w:szCs w:val="24"/>
              </w:rPr>
              <w:t>100,00</w:t>
            </w:r>
          </w:p>
        </w:tc>
      </w:tr>
      <w:tr w:rsidR="003D4C2B" w:rsidRPr="003D4C2B" w14:paraId="117212AD"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7DF9A145" w14:textId="77777777" w:rsidR="00E000F7" w:rsidRPr="003D4C2B" w:rsidRDefault="00E000F7" w:rsidP="00E000F7">
            <w:pPr>
              <w:ind w:firstLine="0"/>
              <w:jc w:val="center"/>
              <w:rPr>
                <w:sz w:val="24"/>
                <w:szCs w:val="24"/>
                <w:lang w:val="en-US"/>
              </w:rPr>
            </w:pPr>
            <w:r w:rsidRPr="003D4C2B">
              <w:rPr>
                <w:sz w:val="24"/>
                <w:szCs w:val="24"/>
                <w:lang w:val="en-US"/>
              </w:rPr>
              <w:t>b</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ACC86D" w14:textId="77777777" w:rsidR="00E000F7" w:rsidRPr="003D4C2B" w:rsidRDefault="00E000F7" w:rsidP="00E000F7">
            <w:pPr>
              <w:spacing w:after="0"/>
              <w:ind w:firstLine="0"/>
              <w:jc w:val="center"/>
              <w:rPr>
                <w:sz w:val="24"/>
                <w:szCs w:val="24"/>
                <w:lang w:val="en-US"/>
              </w:rPr>
            </w:pPr>
            <w:r w:rsidRPr="003D4C2B">
              <w:rPr>
                <w:sz w:val="24"/>
                <w:szCs w:val="24"/>
                <w:lang w:val="en-US"/>
              </w:rPr>
              <w:t>Tỷ trọng công nghiệp - xây dựng và dịch vụ trong GRDP</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B92013F" w14:textId="77777777" w:rsidR="00E000F7" w:rsidRPr="003D4C2B" w:rsidRDefault="00E000F7" w:rsidP="00E000F7">
            <w:pPr>
              <w:ind w:firstLine="0"/>
              <w:jc w:val="center"/>
              <w:rPr>
                <w:sz w:val="24"/>
                <w:szCs w:val="24"/>
                <w:lang w:val="en-US"/>
              </w:rPr>
            </w:pPr>
            <w:r w:rsidRPr="003D4C2B">
              <w:rPr>
                <w:sz w:val="24"/>
                <w:szCs w:val="24"/>
                <w:lang w:val="en-US"/>
              </w:rPr>
              <w:t>≥70%</w:t>
            </w:r>
          </w:p>
        </w:tc>
        <w:tc>
          <w:tcPr>
            <w:tcW w:w="4394"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6B46AD45" w14:textId="08BBB6E4" w:rsidR="00E000F7" w:rsidRPr="003D4C2B" w:rsidRDefault="00E000F7" w:rsidP="00E000F7">
            <w:pPr>
              <w:ind w:firstLine="0"/>
              <w:jc w:val="center"/>
              <w:rPr>
                <w:sz w:val="24"/>
                <w:szCs w:val="24"/>
                <w:lang w:val="en-US"/>
              </w:rPr>
            </w:pPr>
            <w:r w:rsidRPr="003D4C2B">
              <w:rPr>
                <w:sz w:val="24"/>
                <w:szCs w:val="24"/>
              </w:rPr>
              <w:t>83,41</w:t>
            </w:r>
          </w:p>
        </w:tc>
      </w:tr>
      <w:tr w:rsidR="003D4C2B" w:rsidRPr="003D4C2B" w14:paraId="7DA214D6" w14:textId="77777777" w:rsidTr="00A32926">
        <w:trPr>
          <w:trHeight w:val="20"/>
        </w:trPr>
        <w:tc>
          <w:tcPr>
            <w:tcW w:w="418"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60432BD2" w14:textId="77777777" w:rsidR="00E000F7" w:rsidRPr="003D4C2B" w:rsidRDefault="00E000F7" w:rsidP="00E000F7">
            <w:pPr>
              <w:ind w:firstLine="0"/>
              <w:jc w:val="center"/>
              <w:rPr>
                <w:sz w:val="24"/>
                <w:szCs w:val="24"/>
                <w:lang w:val="en-US"/>
              </w:rPr>
            </w:pPr>
            <w:r w:rsidRPr="003D4C2B">
              <w:rPr>
                <w:sz w:val="24"/>
                <w:szCs w:val="24"/>
                <w:lang w:val="en-US"/>
              </w:rPr>
              <w:t>c</w:t>
            </w:r>
          </w:p>
        </w:tc>
        <w:tc>
          <w:tcPr>
            <w:tcW w:w="2126"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5013E" w14:textId="77777777" w:rsidR="00E000F7" w:rsidRPr="003D4C2B" w:rsidRDefault="00E000F7" w:rsidP="00E000F7">
            <w:pPr>
              <w:spacing w:after="0"/>
              <w:ind w:firstLine="0"/>
              <w:jc w:val="center"/>
              <w:rPr>
                <w:sz w:val="24"/>
                <w:szCs w:val="24"/>
                <w:lang w:val="en-US"/>
              </w:rPr>
            </w:pPr>
            <w:r w:rsidRPr="003D4C2B">
              <w:rPr>
                <w:sz w:val="24"/>
                <w:szCs w:val="24"/>
                <w:lang w:val="en-US"/>
              </w:rPr>
              <w:t>Tỷ lệ lao động phi nông nghiệp</w:t>
            </w:r>
          </w:p>
        </w:tc>
        <w:tc>
          <w:tcPr>
            <w:tcW w:w="2977"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13D54DB" w14:textId="77777777" w:rsidR="00E000F7" w:rsidRPr="003D4C2B" w:rsidRDefault="00E000F7" w:rsidP="00E000F7">
            <w:pPr>
              <w:ind w:firstLine="0"/>
              <w:jc w:val="center"/>
              <w:rPr>
                <w:sz w:val="24"/>
                <w:szCs w:val="24"/>
                <w:lang w:val="en-US"/>
              </w:rPr>
            </w:pPr>
            <w:r w:rsidRPr="003D4C2B">
              <w:rPr>
                <w:sz w:val="24"/>
                <w:szCs w:val="24"/>
                <w:lang w:val="en-US"/>
              </w:rPr>
              <w:t>≥70%</w:t>
            </w:r>
          </w:p>
        </w:tc>
        <w:tc>
          <w:tcPr>
            <w:tcW w:w="4394" w:type="dxa"/>
            <w:gridSpan w:val="2"/>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38ED2B47" w14:textId="2B9C44F5" w:rsidR="00E000F7" w:rsidRPr="003D4C2B" w:rsidRDefault="00E000F7" w:rsidP="00E000F7">
            <w:pPr>
              <w:ind w:firstLine="0"/>
              <w:jc w:val="center"/>
              <w:rPr>
                <w:sz w:val="24"/>
                <w:szCs w:val="24"/>
                <w:lang w:val="en-US"/>
              </w:rPr>
            </w:pPr>
            <w:r w:rsidRPr="003D4C2B">
              <w:rPr>
                <w:sz w:val="24"/>
                <w:szCs w:val="24"/>
              </w:rPr>
              <w:t>73,38</w:t>
            </w:r>
          </w:p>
        </w:tc>
      </w:tr>
      <w:tr w:rsidR="003D4C2B" w:rsidRPr="003D4C2B" w14:paraId="0480CA95" w14:textId="77777777" w:rsidTr="00A32926">
        <w:trPr>
          <w:trHeight w:val="787"/>
        </w:trPr>
        <w:tc>
          <w:tcPr>
            <w:tcW w:w="418"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4E0651F9" w14:textId="77777777" w:rsidR="00E000F7" w:rsidRPr="003D4C2B" w:rsidRDefault="00E000F7" w:rsidP="00E000F7">
            <w:pPr>
              <w:ind w:firstLine="0"/>
              <w:jc w:val="center"/>
              <w:rPr>
                <w:sz w:val="24"/>
                <w:szCs w:val="24"/>
                <w:lang w:val="en-US"/>
              </w:rPr>
            </w:pPr>
            <w:r w:rsidRPr="003D4C2B">
              <w:rPr>
                <w:sz w:val="24"/>
                <w:szCs w:val="24"/>
                <w:lang w:val="en-US"/>
              </w:rPr>
              <w:lastRenderedPageBreak/>
              <w:t>d</w:t>
            </w:r>
          </w:p>
        </w:tc>
        <w:tc>
          <w:tcPr>
            <w:tcW w:w="2126"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3839D97" w14:textId="4C0E128E" w:rsidR="00E000F7" w:rsidRPr="003D4C2B" w:rsidRDefault="00E000F7" w:rsidP="00E000F7">
            <w:pPr>
              <w:ind w:firstLine="0"/>
              <w:jc w:val="center"/>
              <w:rPr>
                <w:sz w:val="24"/>
                <w:szCs w:val="24"/>
                <w:lang w:val="en-US"/>
              </w:rPr>
            </w:pPr>
            <w:r w:rsidRPr="003D4C2B">
              <w:rPr>
                <w:sz w:val="24"/>
                <w:szCs w:val="24"/>
                <w:lang w:val="en-US"/>
              </w:rPr>
              <w:t>Thu nhập bình quân đầu người trên năm</w:t>
            </w:r>
          </w:p>
        </w:tc>
        <w:tc>
          <w:tcPr>
            <w:tcW w:w="2977" w:type="dxa"/>
            <w:vMerge w:val="restart"/>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14:paraId="0D254408" w14:textId="77777777" w:rsidR="00E000F7" w:rsidRPr="003D4C2B" w:rsidRDefault="00E000F7" w:rsidP="00E000F7">
            <w:pPr>
              <w:spacing w:after="0"/>
              <w:ind w:firstLine="0"/>
              <w:jc w:val="center"/>
              <w:rPr>
                <w:sz w:val="24"/>
                <w:szCs w:val="24"/>
                <w:lang w:val="en-US"/>
              </w:rPr>
            </w:pPr>
            <w:r w:rsidRPr="003D4C2B">
              <w:rPr>
                <w:sz w:val="24"/>
                <w:szCs w:val="24"/>
                <w:lang w:val="en-US"/>
              </w:rPr>
              <w:t>Cao hơn thu nhập bình quân đầu người trên năm của tỉnh Vĩnh Long trong 03 năm gần nhất</w:t>
            </w:r>
          </w:p>
          <w:p w14:paraId="664897DA" w14:textId="77777777" w:rsidR="00E000F7" w:rsidRPr="003D4C2B" w:rsidRDefault="00E000F7" w:rsidP="00E000F7">
            <w:pPr>
              <w:spacing w:after="0"/>
              <w:ind w:firstLine="0"/>
              <w:jc w:val="center"/>
              <w:rPr>
                <w:sz w:val="24"/>
                <w:szCs w:val="24"/>
                <w:lang w:val="en-US"/>
              </w:rPr>
            </w:pPr>
            <w:r w:rsidRPr="003D4C2B">
              <w:rPr>
                <w:sz w:val="24"/>
                <w:szCs w:val="24"/>
                <w:lang w:val="en-US"/>
              </w:rPr>
              <w:t>Năm 2023: 46,62 trđ</w:t>
            </w:r>
          </w:p>
          <w:p w14:paraId="09F67E62" w14:textId="77777777" w:rsidR="00E000F7" w:rsidRPr="003D4C2B" w:rsidRDefault="00E000F7" w:rsidP="00E000F7">
            <w:pPr>
              <w:spacing w:after="0"/>
              <w:ind w:firstLine="0"/>
              <w:jc w:val="center"/>
              <w:rPr>
                <w:sz w:val="24"/>
                <w:szCs w:val="24"/>
                <w:lang w:val="en-US"/>
              </w:rPr>
            </w:pPr>
            <w:r w:rsidRPr="003D4C2B">
              <w:rPr>
                <w:sz w:val="24"/>
                <w:szCs w:val="24"/>
                <w:lang w:val="en-US"/>
              </w:rPr>
              <w:t>Năm 2024: 50,75 trđ</w:t>
            </w:r>
          </w:p>
          <w:p w14:paraId="4B41856B" w14:textId="505B3690" w:rsidR="00E000F7" w:rsidRPr="003D4C2B" w:rsidRDefault="00E000F7" w:rsidP="00E000F7">
            <w:pPr>
              <w:spacing w:after="0"/>
              <w:ind w:firstLine="0"/>
              <w:jc w:val="center"/>
              <w:rPr>
                <w:sz w:val="24"/>
                <w:szCs w:val="24"/>
                <w:lang w:val="en-US"/>
              </w:rPr>
            </w:pPr>
            <w:r w:rsidRPr="003D4C2B">
              <w:rPr>
                <w:sz w:val="24"/>
                <w:szCs w:val="24"/>
                <w:lang w:val="en-US"/>
              </w:rPr>
              <w:t>Năm 2025: 55,24 trđ</w:t>
            </w: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EA0E11D" w14:textId="4015EEE5" w:rsidR="00E000F7" w:rsidRPr="003D4C2B" w:rsidRDefault="00E000F7" w:rsidP="00E000F7">
            <w:pPr>
              <w:spacing w:after="0"/>
              <w:ind w:firstLine="0"/>
              <w:jc w:val="center"/>
              <w:rPr>
                <w:sz w:val="24"/>
                <w:szCs w:val="24"/>
                <w:lang w:val="en-US"/>
              </w:rPr>
            </w:pPr>
            <w:r w:rsidRPr="003D4C2B">
              <w:rPr>
                <w:sz w:val="24"/>
                <w:szCs w:val="24"/>
                <w:lang w:val="en-US"/>
              </w:rPr>
              <w:t>Năm 2023</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2CE912BE" w14:textId="7F72BA69" w:rsidR="00E000F7" w:rsidRPr="003D4C2B" w:rsidRDefault="00E000F7" w:rsidP="00E000F7">
            <w:pPr>
              <w:spacing w:after="0"/>
              <w:ind w:firstLine="0"/>
              <w:jc w:val="center"/>
              <w:rPr>
                <w:sz w:val="24"/>
                <w:szCs w:val="24"/>
                <w:lang w:val="en-US"/>
              </w:rPr>
            </w:pPr>
            <w:r w:rsidRPr="003D4C2B">
              <w:rPr>
                <w:sz w:val="24"/>
                <w:szCs w:val="24"/>
              </w:rPr>
              <w:t>66,44</w:t>
            </w:r>
          </w:p>
        </w:tc>
      </w:tr>
      <w:tr w:rsidR="003D4C2B" w:rsidRPr="003D4C2B" w14:paraId="2D4EF692" w14:textId="77777777" w:rsidTr="00A32926">
        <w:trPr>
          <w:trHeight w:val="827"/>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14:paraId="5BE87B83" w14:textId="77777777" w:rsidR="00E000F7" w:rsidRPr="003D4C2B" w:rsidRDefault="00E000F7" w:rsidP="00E000F7">
            <w:pPr>
              <w:ind w:firstLine="0"/>
              <w:jc w:val="center"/>
              <w:rPr>
                <w:sz w:val="24"/>
                <w:szCs w:val="24"/>
                <w:lang w:val="en-US"/>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14:paraId="00D73213" w14:textId="77777777" w:rsidR="00E000F7" w:rsidRPr="003D4C2B" w:rsidRDefault="00E000F7" w:rsidP="00E000F7">
            <w:pPr>
              <w:ind w:firstLine="0"/>
              <w:jc w:val="center"/>
              <w:rPr>
                <w:sz w:val="24"/>
                <w:szCs w:val="24"/>
                <w:lang w:val="en-US"/>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14:paraId="5AA8C271" w14:textId="77777777" w:rsidR="00E000F7" w:rsidRPr="003D4C2B" w:rsidRDefault="00E000F7" w:rsidP="00E000F7">
            <w:pPr>
              <w:spacing w:after="0"/>
              <w:ind w:firstLine="0"/>
              <w:jc w:val="center"/>
              <w:rPr>
                <w:sz w:val="24"/>
                <w:szCs w:val="24"/>
                <w:lang w:val="en-US"/>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498FFE5" w14:textId="0CF11F11" w:rsidR="00E000F7" w:rsidRPr="003D4C2B" w:rsidRDefault="00E000F7" w:rsidP="00E000F7">
            <w:pPr>
              <w:spacing w:after="0"/>
              <w:ind w:firstLine="0"/>
              <w:jc w:val="center"/>
              <w:rPr>
                <w:sz w:val="24"/>
                <w:szCs w:val="24"/>
                <w:lang w:val="en-US"/>
              </w:rPr>
            </w:pPr>
            <w:r w:rsidRPr="003D4C2B">
              <w:rPr>
                <w:sz w:val="24"/>
                <w:szCs w:val="24"/>
                <w:lang w:val="en-US"/>
              </w:rPr>
              <w:t>Năm 2024</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5C9DD05A" w14:textId="419F2C40" w:rsidR="00E000F7" w:rsidRPr="003D4C2B" w:rsidRDefault="00E000F7" w:rsidP="00E000F7">
            <w:pPr>
              <w:spacing w:after="0"/>
              <w:ind w:firstLine="0"/>
              <w:jc w:val="center"/>
              <w:rPr>
                <w:sz w:val="24"/>
                <w:szCs w:val="24"/>
                <w:lang w:val="en-US"/>
              </w:rPr>
            </w:pPr>
            <w:r w:rsidRPr="003D4C2B">
              <w:rPr>
                <w:sz w:val="24"/>
                <w:szCs w:val="24"/>
              </w:rPr>
              <w:t>73,01</w:t>
            </w:r>
          </w:p>
        </w:tc>
      </w:tr>
      <w:tr w:rsidR="003D4C2B" w:rsidRPr="003D4C2B" w14:paraId="5F27EB30" w14:textId="77777777" w:rsidTr="00A32926">
        <w:trPr>
          <w:trHeight w:val="20"/>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14:paraId="49560BC4" w14:textId="77777777" w:rsidR="00E000F7" w:rsidRPr="003D4C2B" w:rsidRDefault="00E000F7" w:rsidP="00E000F7">
            <w:pPr>
              <w:ind w:firstLine="0"/>
              <w:jc w:val="center"/>
              <w:rPr>
                <w:sz w:val="24"/>
                <w:szCs w:val="24"/>
                <w:lang w:val="en-US"/>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14:paraId="050E380C" w14:textId="77777777" w:rsidR="00E000F7" w:rsidRPr="003D4C2B" w:rsidRDefault="00E000F7" w:rsidP="00E000F7">
            <w:pPr>
              <w:ind w:firstLine="0"/>
              <w:jc w:val="center"/>
              <w:rPr>
                <w:sz w:val="24"/>
                <w:szCs w:val="24"/>
                <w:lang w:val="en-US"/>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14:paraId="0D88CFAC" w14:textId="77777777" w:rsidR="00E000F7" w:rsidRPr="003D4C2B" w:rsidRDefault="00E000F7" w:rsidP="00E000F7">
            <w:pPr>
              <w:spacing w:after="0"/>
              <w:ind w:firstLine="0"/>
              <w:jc w:val="center"/>
              <w:rPr>
                <w:sz w:val="24"/>
                <w:szCs w:val="24"/>
                <w:lang w:val="en-US"/>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04DEBD1" w14:textId="04013288" w:rsidR="00E000F7" w:rsidRPr="003D4C2B" w:rsidRDefault="00E000F7" w:rsidP="00E000F7">
            <w:pPr>
              <w:spacing w:after="0"/>
              <w:ind w:firstLine="0"/>
              <w:jc w:val="center"/>
              <w:rPr>
                <w:sz w:val="24"/>
                <w:szCs w:val="24"/>
                <w:lang w:val="en-US"/>
              </w:rPr>
            </w:pPr>
            <w:r w:rsidRPr="003D4C2B">
              <w:rPr>
                <w:sz w:val="24"/>
                <w:szCs w:val="24"/>
                <w:lang w:val="en-US"/>
              </w:rPr>
              <w:t>Năm 2025</w:t>
            </w:r>
          </w:p>
        </w:tc>
        <w:tc>
          <w:tcPr>
            <w:tcW w:w="229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0" w:type="dxa"/>
              <w:left w:w="45" w:type="dxa"/>
              <w:bottom w:w="0" w:type="dxa"/>
              <w:right w:w="45" w:type="dxa"/>
            </w:tcMar>
            <w:vAlign w:val="center"/>
            <w:hideMark/>
          </w:tcPr>
          <w:p w14:paraId="085C7CAF" w14:textId="24CED8E4" w:rsidR="00E000F7" w:rsidRPr="003D4C2B" w:rsidRDefault="00E000F7" w:rsidP="00E000F7">
            <w:pPr>
              <w:spacing w:after="0"/>
              <w:ind w:firstLine="0"/>
              <w:jc w:val="center"/>
              <w:rPr>
                <w:sz w:val="24"/>
                <w:szCs w:val="24"/>
                <w:lang w:val="en-US"/>
              </w:rPr>
            </w:pPr>
            <w:r w:rsidRPr="003D4C2B">
              <w:rPr>
                <w:sz w:val="24"/>
                <w:szCs w:val="24"/>
              </w:rPr>
              <w:t>78,50</w:t>
            </w:r>
          </w:p>
        </w:tc>
      </w:tr>
      <w:tr w:rsidR="003D4C2B" w:rsidRPr="003D4C2B" w14:paraId="4CD441A9" w14:textId="77777777" w:rsidTr="00A32926">
        <w:trPr>
          <w:trHeight w:val="729"/>
        </w:trPr>
        <w:tc>
          <w:tcPr>
            <w:tcW w:w="418"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19767153" w14:textId="77777777" w:rsidR="00E000F7" w:rsidRPr="003D4C2B" w:rsidRDefault="00E000F7" w:rsidP="00E000F7">
            <w:pPr>
              <w:ind w:firstLine="0"/>
              <w:jc w:val="center"/>
              <w:rPr>
                <w:sz w:val="24"/>
                <w:szCs w:val="24"/>
                <w:lang w:val="en-US"/>
              </w:rPr>
            </w:pPr>
            <w:r w:rsidRPr="003D4C2B">
              <w:rPr>
                <w:sz w:val="24"/>
                <w:szCs w:val="24"/>
                <w:lang w:val="en-US"/>
              </w:rPr>
              <w:t>đ</w:t>
            </w:r>
          </w:p>
        </w:tc>
        <w:tc>
          <w:tcPr>
            <w:tcW w:w="2126"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FE62B4E" w14:textId="77777777" w:rsidR="00E000F7" w:rsidRPr="003D4C2B" w:rsidRDefault="00E000F7" w:rsidP="00E000F7">
            <w:pPr>
              <w:ind w:firstLine="0"/>
              <w:jc w:val="center"/>
              <w:rPr>
                <w:sz w:val="24"/>
                <w:szCs w:val="24"/>
                <w:lang w:val="en-US"/>
              </w:rPr>
            </w:pPr>
            <w:r w:rsidRPr="003D4C2B">
              <w:rPr>
                <w:sz w:val="24"/>
                <w:szCs w:val="24"/>
                <w:lang w:val="en-US"/>
              </w:rPr>
              <w:t>Tỷ lệ hộ nghèo (theo chuẩn nghèo đa chiều) 3 năm</w:t>
            </w:r>
          </w:p>
        </w:tc>
        <w:tc>
          <w:tcPr>
            <w:tcW w:w="2977" w:type="dxa"/>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5792575" w14:textId="77777777" w:rsidR="00E000F7" w:rsidRPr="003D4C2B" w:rsidRDefault="00E000F7" w:rsidP="00E000F7">
            <w:pPr>
              <w:spacing w:after="0"/>
              <w:ind w:firstLine="0"/>
              <w:jc w:val="center"/>
              <w:rPr>
                <w:sz w:val="24"/>
                <w:szCs w:val="24"/>
                <w:lang w:val="en-US"/>
              </w:rPr>
            </w:pPr>
            <w:r w:rsidRPr="003D4C2B">
              <w:rPr>
                <w:sz w:val="24"/>
                <w:szCs w:val="24"/>
                <w:lang w:val="en-US"/>
              </w:rPr>
              <w:t>Thấp hơn tỷ lệ hộ nghèo của tỉnh Vĩnh Long trong 03 năm gần nhất</w:t>
            </w:r>
          </w:p>
          <w:p w14:paraId="035E3F56" w14:textId="77777777" w:rsidR="00175F89" w:rsidRPr="005B1A00" w:rsidRDefault="00175F89" w:rsidP="00175F89">
            <w:pPr>
              <w:spacing w:after="0"/>
              <w:ind w:firstLine="0"/>
              <w:jc w:val="center"/>
              <w:rPr>
                <w:sz w:val="24"/>
                <w:szCs w:val="24"/>
                <w:lang w:val="en-US"/>
              </w:rPr>
            </w:pPr>
            <w:r w:rsidRPr="005B1A00">
              <w:rPr>
                <w:sz w:val="24"/>
                <w:szCs w:val="24"/>
                <w:lang w:val="en-US"/>
              </w:rPr>
              <w:t xml:space="preserve">Năm 2023: </w:t>
            </w:r>
            <w:r>
              <w:rPr>
                <w:sz w:val="24"/>
                <w:szCs w:val="24"/>
                <w:lang w:val="en-US"/>
              </w:rPr>
              <w:t>4,17</w:t>
            </w:r>
            <w:r w:rsidRPr="005B1A00">
              <w:rPr>
                <w:sz w:val="24"/>
                <w:szCs w:val="24"/>
                <w:lang w:val="en-US"/>
              </w:rPr>
              <w:t xml:space="preserve"> %</w:t>
            </w:r>
          </w:p>
          <w:p w14:paraId="51B08A0D" w14:textId="77777777" w:rsidR="00175F89" w:rsidRPr="005B1A00" w:rsidRDefault="00175F89" w:rsidP="00175F89">
            <w:pPr>
              <w:spacing w:after="0"/>
              <w:ind w:firstLine="0"/>
              <w:jc w:val="center"/>
              <w:rPr>
                <w:sz w:val="24"/>
                <w:szCs w:val="24"/>
                <w:lang w:val="en-US"/>
              </w:rPr>
            </w:pPr>
            <w:r w:rsidRPr="005B1A00">
              <w:rPr>
                <w:sz w:val="24"/>
                <w:szCs w:val="24"/>
                <w:lang w:val="en-US"/>
              </w:rPr>
              <w:t xml:space="preserve">Năm 2024: </w:t>
            </w:r>
            <w:r>
              <w:rPr>
                <w:sz w:val="24"/>
                <w:szCs w:val="24"/>
                <w:lang w:val="en-US"/>
              </w:rPr>
              <w:t>3,30</w:t>
            </w:r>
            <w:r w:rsidRPr="005B1A00">
              <w:rPr>
                <w:sz w:val="24"/>
                <w:szCs w:val="24"/>
                <w:lang w:val="en-US"/>
              </w:rPr>
              <w:t xml:space="preserve"> %</w:t>
            </w:r>
          </w:p>
          <w:p w14:paraId="6C184B57" w14:textId="7CACFD52" w:rsidR="00E000F7" w:rsidRPr="003D4C2B" w:rsidRDefault="00175F89" w:rsidP="00175F89">
            <w:pPr>
              <w:spacing w:after="0"/>
              <w:ind w:firstLine="0"/>
              <w:jc w:val="center"/>
              <w:rPr>
                <w:sz w:val="24"/>
                <w:szCs w:val="24"/>
                <w:lang w:val="en-US"/>
              </w:rPr>
            </w:pPr>
            <w:r w:rsidRPr="005B1A00">
              <w:rPr>
                <w:sz w:val="24"/>
                <w:szCs w:val="24"/>
                <w:lang w:val="en-US"/>
              </w:rPr>
              <w:t xml:space="preserve">Năm 2025: </w:t>
            </w:r>
            <w:r>
              <w:rPr>
                <w:sz w:val="24"/>
                <w:szCs w:val="24"/>
                <w:lang w:val="en-US"/>
              </w:rPr>
              <w:t>2,82</w:t>
            </w:r>
            <w:r w:rsidRPr="005B1A00">
              <w:rPr>
                <w:sz w:val="24"/>
                <w:szCs w:val="24"/>
                <w:lang w:val="en-US"/>
              </w:rPr>
              <w:t xml:space="preserve"> %</w:t>
            </w: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235984C" w14:textId="318152BE" w:rsidR="00E000F7" w:rsidRPr="003D4C2B" w:rsidRDefault="00E000F7" w:rsidP="00E000F7">
            <w:pPr>
              <w:spacing w:after="0"/>
              <w:ind w:firstLine="0"/>
              <w:jc w:val="center"/>
              <w:rPr>
                <w:sz w:val="24"/>
                <w:szCs w:val="24"/>
                <w:lang w:val="en-US"/>
              </w:rPr>
            </w:pPr>
            <w:r w:rsidRPr="003D4C2B">
              <w:rPr>
                <w:sz w:val="24"/>
                <w:szCs w:val="24"/>
                <w:lang w:val="en-US"/>
              </w:rPr>
              <w:t>Năm 2023</w:t>
            </w:r>
          </w:p>
        </w:tc>
        <w:tc>
          <w:tcPr>
            <w:tcW w:w="22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D2057C7" w14:textId="371D5B8A" w:rsidR="00E000F7" w:rsidRPr="003D4C2B" w:rsidRDefault="00E000F7" w:rsidP="00E000F7">
            <w:pPr>
              <w:spacing w:after="0"/>
              <w:ind w:firstLine="0"/>
              <w:jc w:val="center"/>
              <w:rPr>
                <w:sz w:val="24"/>
                <w:szCs w:val="24"/>
                <w:lang w:val="en-US"/>
              </w:rPr>
            </w:pPr>
            <w:r w:rsidRPr="003D4C2B">
              <w:rPr>
                <w:sz w:val="24"/>
                <w:szCs w:val="24"/>
              </w:rPr>
              <w:t>2,64</w:t>
            </w:r>
          </w:p>
        </w:tc>
      </w:tr>
      <w:tr w:rsidR="003D4C2B" w:rsidRPr="003D4C2B" w14:paraId="21620598" w14:textId="77777777" w:rsidTr="00A32926">
        <w:trPr>
          <w:trHeight w:val="684"/>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14:paraId="05E7DE78" w14:textId="77777777" w:rsidR="00E000F7" w:rsidRPr="003D4C2B" w:rsidRDefault="00E000F7" w:rsidP="00E000F7">
            <w:pPr>
              <w:ind w:firstLine="0"/>
              <w:jc w:val="center"/>
              <w:rPr>
                <w:sz w:val="24"/>
                <w:szCs w:val="24"/>
                <w:lang w:val="en-US"/>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14:paraId="2B4E4E8D" w14:textId="77777777" w:rsidR="00E000F7" w:rsidRPr="003D4C2B" w:rsidRDefault="00E000F7" w:rsidP="00E000F7">
            <w:pPr>
              <w:ind w:firstLine="0"/>
              <w:jc w:val="center"/>
              <w:rPr>
                <w:sz w:val="24"/>
                <w:szCs w:val="24"/>
                <w:lang w:val="en-US"/>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14:paraId="76285076" w14:textId="77777777" w:rsidR="00E000F7" w:rsidRPr="003D4C2B" w:rsidRDefault="00E000F7" w:rsidP="00E000F7">
            <w:pPr>
              <w:ind w:firstLine="0"/>
              <w:jc w:val="center"/>
              <w:rPr>
                <w:sz w:val="24"/>
                <w:szCs w:val="24"/>
                <w:lang w:val="en-US"/>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811B376" w14:textId="21BAD899" w:rsidR="00E000F7" w:rsidRPr="003D4C2B" w:rsidRDefault="00E000F7" w:rsidP="00E000F7">
            <w:pPr>
              <w:spacing w:after="0"/>
              <w:ind w:firstLine="0"/>
              <w:jc w:val="center"/>
              <w:rPr>
                <w:sz w:val="24"/>
                <w:szCs w:val="24"/>
                <w:lang w:val="en-US"/>
              </w:rPr>
            </w:pPr>
            <w:r w:rsidRPr="003D4C2B">
              <w:rPr>
                <w:sz w:val="24"/>
                <w:szCs w:val="24"/>
                <w:lang w:val="en-US"/>
              </w:rPr>
              <w:t>Năm 2024</w:t>
            </w:r>
          </w:p>
        </w:tc>
        <w:tc>
          <w:tcPr>
            <w:tcW w:w="22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1A1E8F09" w14:textId="45E5344E" w:rsidR="00E000F7" w:rsidRPr="003D4C2B" w:rsidRDefault="00E000F7" w:rsidP="00E000F7">
            <w:pPr>
              <w:spacing w:after="0"/>
              <w:ind w:firstLine="0"/>
              <w:jc w:val="center"/>
              <w:rPr>
                <w:sz w:val="24"/>
                <w:szCs w:val="24"/>
                <w:lang w:val="en-US"/>
              </w:rPr>
            </w:pPr>
            <w:r w:rsidRPr="003D4C2B">
              <w:rPr>
                <w:sz w:val="24"/>
                <w:szCs w:val="24"/>
              </w:rPr>
              <w:t>2,14</w:t>
            </w:r>
          </w:p>
        </w:tc>
      </w:tr>
      <w:tr w:rsidR="003D4C2B" w:rsidRPr="003D4C2B" w14:paraId="2A2CC914" w14:textId="77777777" w:rsidTr="00A32926">
        <w:trPr>
          <w:trHeight w:val="20"/>
        </w:trPr>
        <w:tc>
          <w:tcPr>
            <w:tcW w:w="418" w:type="dxa"/>
            <w:vMerge/>
            <w:tcBorders>
              <w:top w:val="single" w:sz="6" w:space="0" w:color="CCCCCC"/>
              <w:left w:val="single" w:sz="6" w:space="0" w:color="000000"/>
              <w:bottom w:val="single" w:sz="6" w:space="0" w:color="000000"/>
              <w:right w:val="single" w:sz="6" w:space="0" w:color="000000"/>
            </w:tcBorders>
            <w:vAlign w:val="center"/>
            <w:hideMark/>
          </w:tcPr>
          <w:p w14:paraId="487D49F9" w14:textId="77777777" w:rsidR="00E000F7" w:rsidRPr="003D4C2B" w:rsidRDefault="00E000F7" w:rsidP="00E000F7">
            <w:pPr>
              <w:ind w:firstLine="0"/>
              <w:jc w:val="center"/>
              <w:rPr>
                <w:sz w:val="24"/>
                <w:szCs w:val="24"/>
                <w:lang w:val="en-US"/>
              </w:rPr>
            </w:pPr>
          </w:p>
        </w:tc>
        <w:tc>
          <w:tcPr>
            <w:tcW w:w="2126" w:type="dxa"/>
            <w:vMerge/>
            <w:tcBorders>
              <w:top w:val="single" w:sz="6" w:space="0" w:color="CCCCCC"/>
              <w:left w:val="single" w:sz="6" w:space="0" w:color="CCCCCC"/>
              <w:bottom w:val="single" w:sz="6" w:space="0" w:color="000000"/>
              <w:right w:val="single" w:sz="6" w:space="0" w:color="000000"/>
            </w:tcBorders>
            <w:vAlign w:val="center"/>
            <w:hideMark/>
          </w:tcPr>
          <w:p w14:paraId="098BA050" w14:textId="77777777" w:rsidR="00E000F7" w:rsidRPr="003D4C2B" w:rsidRDefault="00E000F7" w:rsidP="00E000F7">
            <w:pPr>
              <w:ind w:firstLine="0"/>
              <w:jc w:val="center"/>
              <w:rPr>
                <w:sz w:val="24"/>
                <w:szCs w:val="24"/>
                <w:lang w:val="en-US"/>
              </w:rPr>
            </w:pPr>
          </w:p>
        </w:tc>
        <w:tc>
          <w:tcPr>
            <w:tcW w:w="2977" w:type="dxa"/>
            <w:vMerge/>
            <w:tcBorders>
              <w:top w:val="single" w:sz="6" w:space="0" w:color="CCCCCC"/>
              <w:left w:val="single" w:sz="6" w:space="0" w:color="CCCCCC"/>
              <w:bottom w:val="single" w:sz="6" w:space="0" w:color="000000"/>
              <w:right w:val="single" w:sz="6" w:space="0" w:color="000000"/>
            </w:tcBorders>
            <w:vAlign w:val="center"/>
            <w:hideMark/>
          </w:tcPr>
          <w:p w14:paraId="4C91E225" w14:textId="77777777" w:rsidR="00E000F7" w:rsidRPr="003D4C2B" w:rsidRDefault="00E000F7" w:rsidP="00E000F7">
            <w:pPr>
              <w:ind w:firstLine="0"/>
              <w:jc w:val="center"/>
              <w:rPr>
                <w:sz w:val="24"/>
                <w:szCs w:val="24"/>
                <w:lang w:val="en-US"/>
              </w:rPr>
            </w:pPr>
          </w:p>
        </w:tc>
        <w:tc>
          <w:tcPr>
            <w:tcW w:w="209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EE05F89" w14:textId="57319930" w:rsidR="00E000F7" w:rsidRPr="003D4C2B" w:rsidRDefault="00E000F7" w:rsidP="00E000F7">
            <w:pPr>
              <w:spacing w:after="0"/>
              <w:ind w:firstLine="0"/>
              <w:jc w:val="center"/>
              <w:rPr>
                <w:sz w:val="24"/>
                <w:szCs w:val="24"/>
                <w:lang w:val="en-US"/>
              </w:rPr>
            </w:pPr>
            <w:r w:rsidRPr="003D4C2B">
              <w:rPr>
                <w:sz w:val="24"/>
                <w:szCs w:val="24"/>
                <w:lang w:val="en-US"/>
              </w:rPr>
              <w:t>Năm 2025</w:t>
            </w:r>
          </w:p>
        </w:tc>
        <w:tc>
          <w:tcPr>
            <w:tcW w:w="2295" w:type="dxa"/>
            <w:tcBorders>
              <w:top w:val="single" w:sz="6" w:space="0" w:color="CCCCCC"/>
              <w:left w:val="single" w:sz="6" w:space="0" w:color="CCCCCC"/>
              <w:bottom w:val="single" w:sz="6" w:space="0" w:color="000000"/>
              <w:right w:val="single" w:sz="6" w:space="0" w:color="000000"/>
            </w:tcBorders>
            <w:shd w:val="clear" w:color="auto" w:fill="auto"/>
            <w:tcMar>
              <w:top w:w="0" w:type="dxa"/>
              <w:left w:w="45" w:type="dxa"/>
              <w:bottom w:w="0" w:type="dxa"/>
              <w:right w:w="45" w:type="dxa"/>
            </w:tcMar>
            <w:vAlign w:val="center"/>
            <w:hideMark/>
          </w:tcPr>
          <w:p w14:paraId="20BDBDF3" w14:textId="7A639692" w:rsidR="00E000F7" w:rsidRPr="003D4C2B" w:rsidRDefault="00E000F7" w:rsidP="00E000F7">
            <w:pPr>
              <w:spacing w:after="0"/>
              <w:ind w:firstLine="0"/>
              <w:jc w:val="center"/>
              <w:rPr>
                <w:sz w:val="24"/>
                <w:szCs w:val="24"/>
                <w:lang w:val="en-US"/>
              </w:rPr>
            </w:pPr>
            <w:r w:rsidRPr="003D4C2B">
              <w:rPr>
                <w:sz w:val="24"/>
                <w:szCs w:val="24"/>
              </w:rPr>
              <w:t>1,15</w:t>
            </w:r>
          </w:p>
        </w:tc>
      </w:tr>
    </w:tbl>
    <w:p w14:paraId="0705EDD9" w14:textId="4FFB10E3" w:rsidR="00B0460E" w:rsidRPr="003D4C2B" w:rsidRDefault="00B0460E" w:rsidP="00B0460E">
      <w:r w:rsidRPr="003D4C2B">
        <w:rPr>
          <w:b/>
          <w:bCs/>
        </w:rPr>
        <w:t>Kết luận:</w:t>
      </w:r>
      <w:r w:rsidRPr="003D4C2B">
        <w:t xml:space="preserve"> Đối chiếu với quy định tại Điều 5 Nghị quyết 112/2025/UBTVQH15 ngày 24/12/2025 của Ủy ban Thường vụ Quốc hội về tiêu chuẩn đơn vị hành chính, xã </w:t>
      </w:r>
      <w:r w:rsidR="00E000F7" w:rsidRPr="003D4C2B">
        <w:t>Mỏ Cày</w:t>
      </w:r>
      <w:r w:rsidR="00A65413" w:rsidRPr="003D4C2B">
        <w:t xml:space="preserve"> đã</w:t>
      </w:r>
      <w:r w:rsidRPr="003D4C2B">
        <w:t xml:space="preserve"> đạt đủ các tiêu chuẩn thành lập phường theo quy định.</w:t>
      </w:r>
    </w:p>
    <w:p w14:paraId="670BBA27" w14:textId="1DA306E4" w:rsidR="00B0460E" w:rsidRPr="003D4C2B" w:rsidRDefault="00B0460E" w:rsidP="00B0460E">
      <w:pPr>
        <w:pStyle w:val="Heading1"/>
        <w:rPr>
          <w:lang w:val="vi"/>
        </w:rPr>
      </w:pPr>
      <w:r w:rsidRPr="003D4C2B">
        <w:rPr>
          <w:lang w:val="vi"/>
        </w:rPr>
        <w:t xml:space="preserve">VI. PHƯƠNG ÁN THÀNH LẬP PHƯỜNG </w:t>
      </w:r>
      <w:r w:rsidR="00E000F7" w:rsidRPr="003D4C2B">
        <w:rPr>
          <w:lang w:val="vi"/>
        </w:rPr>
        <w:t>MỎ CÀY</w:t>
      </w:r>
    </w:p>
    <w:p w14:paraId="59153B7B" w14:textId="77777777" w:rsidR="00E000F7" w:rsidRPr="003D4C2B" w:rsidRDefault="00E000F7" w:rsidP="00E000F7">
      <w:pPr>
        <w:ind w:firstLine="566"/>
      </w:pPr>
      <w:r w:rsidRPr="003D4C2B">
        <w:t>Thành lập phường Mỏ Cày trên cơ sở nguyên trạng địa giới hành chính xã Mỏ Cày với diện tích tự nhiên là 38,89 km², quy mô dân số là 50.338 người.</w:t>
      </w:r>
    </w:p>
    <w:p w14:paraId="1E97B042" w14:textId="77777777" w:rsidR="00E000F7" w:rsidRPr="003D4C2B" w:rsidRDefault="00E000F7" w:rsidP="00E000F7">
      <w:pPr>
        <w:ind w:firstLine="566"/>
      </w:pPr>
      <w:r w:rsidRPr="003D4C2B">
        <w:t>Tên gọi đơn vị hành chính sau thành lập: Phường Mỏ Cày</w:t>
      </w:r>
    </w:p>
    <w:p w14:paraId="3C518DE6" w14:textId="77777777" w:rsidR="00E000F7" w:rsidRPr="003D4C2B" w:rsidRDefault="00E000F7" w:rsidP="00E000F7">
      <w:pPr>
        <w:ind w:firstLine="566"/>
      </w:pPr>
      <w:r w:rsidRPr="003D4C2B">
        <w:t xml:space="preserve">Địa giới hành chính: Giữ nguyên theo địa giới hành chính hiện hữu của xã Mỏ Cày. </w:t>
      </w:r>
    </w:p>
    <w:p w14:paraId="1FBD73B1" w14:textId="77777777" w:rsidR="00E000F7" w:rsidRPr="003D4C2B" w:rsidRDefault="00E000F7" w:rsidP="00E000F7">
      <w:pPr>
        <w:ind w:firstLine="566"/>
      </w:pPr>
      <w:r w:rsidRPr="003D4C2B">
        <w:t>Lý do chọn phương án thành lập:</w:t>
      </w:r>
    </w:p>
    <w:p w14:paraId="420C1D8D" w14:textId="77777777" w:rsidR="00E000F7" w:rsidRPr="003D4C2B" w:rsidRDefault="00E000F7" w:rsidP="00E000F7">
      <w:pPr>
        <w:spacing w:before="240" w:after="240"/>
        <w:ind w:firstLine="566"/>
      </w:pPr>
      <w:r w:rsidRPr="003D4C2B">
        <w:t>Việc thành lập phường Mỏ Cày trên cơ sở giữ nguyên trạng địa giới hành chính của xã Mỏ Cày là phù hợp với yêu cầu tổ chức lại đơn vị hành chính theo hướng tinh gọn, hiệu lực, hiệu quả và đáp ứng định hướng phát triển đô thị của tỉnh trong giai đoạn hiện nay. Phương án này giúp địa phương giữ vững tính ổn định về địa giới quản lý, hạn chế những tác động phát sinh đến hoạt động của cơ quan, tổ chức và đời sống Nhân dân.</w:t>
      </w:r>
    </w:p>
    <w:p w14:paraId="65D6724D" w14:textId="77777777" w:rsidR="00E000F7" w:rsidRPr="003D4C2B" w:rsidRDefault="00E000F7" w:rsidP="00E000F7">
      <w:pPr>
        <w:spacing w:before="240" w:after="240"/>
        <w:ind w:firstLine="566"/>
      </w:pPr>
      <w:r w:rsidRPr="003D4C2B">
        <w:t xml:space="preserve">Trong những năm qua, xã Mỏ Cày có tốc độ phát triển kinh tế - xã hội tương đối ổn định; các lĩnh vực thương mại, dịch vụ, sản xuất công nghiệp và tiểu thủ công nghiệp từng bước mở rộng. Hệ thống giao thông nội thị, hạ tầng kỹ thuật và các thiết </w:t>
      </w:r>
      <w:r w:rsidRPr="003D4C2B">
        <w:lastRenderedPageBreak/>
        <w:t>chế văn hóa - xã hội tiếp tục được đầu tư, tạo diện mạo đô thị ngày càng rõ nét. Sự gia tăng dân số tập trung cùng với nhu cầu sử dụng các dịch vụ công, dịch vụ đô thị là cơ sở thực tiễn quan trọng cho việc chuyển đổi mô hình quản lý từ xã sang phường.</w:t>
      </w:r>
    </w:p>
    <w:p w14:paraId="6EEBEA22" w14:textId="77777777" w:rsidR="00E000F7" w:rsidRPr="003D4C2B" w:rsidRDefault="00E000F7" w:rsidP="00E000F7">
      <w:pPr>
        <w:spacing w:before="240" w:after="240"/>
        <w:ind w:firstLine="566"/>
      </w:pPr>
      <w:r w:rsidRPr="003D4C2B">
        <w:t>Việc giữ nguyên trạng địa giới hành chính giúp địa phương thuận lợi trong việc kế thừa hệ thống hồ sơ quản lý dân cư, dữ liệu đất đai, quy hoạch xây dựng và các cơ sở dữ liệu chuyên ngành khác. Các chương trình, dự án đầu tư đang triển khai trên địa bàn tiếp tục được thực hiện ổn định, không phát sinh khó khăn do thay đổi ranh giới hành chính. Đồng thời, người dân và doanh nghiệp không phải điều chỉnh các giấy tờ liên quan đến địa chỉ hành chính, góp phần giảm áp lực về thủ tục hành chính trong quá trình chuyển đổi.</w:t>
      </w:r>
    </w:p>
    <w:p w14:paraId="6B311808" w14:textId="6B820559" w:rsidR="00A65413" w:rsidRPr="003D4C2B" w:rsidRDefault="00E000F7" w:rsidP="00E000F7">
      <w:pPr>
        <w:pBdr>
          <w:top w:val="nil"/>
          <w:left w:val="nil"/>
          <w:bottom w:val="nil"/>
          <w:right w:val="nil"/>
          <w:between w:val="nil"/>
        </w:pBdr>
        <w:ind w:firstLine="566"/>
      </w:pPr>
      <w:r w:rsidRPr="003D4C2B">
        <w:t>Ngoài ra, việc thành lập phường Mỏ Cày sẽ tạo điều kiện để nâng cao hiệu quả quản lý đô thị, đẩy mạnh chỉnh trang kết cấu hạ tầng, phát triển thương mại - dịch vụ và thu hút các nguồn lực đầu tư. Đây là tiền đề quan trọng để địa phương tiếp tục phát triển theo hướng đô thị văn minh, hiện đại, phù hợp với yêu cầu phát triển kinh tế - xã hội trong thời kỳ mới</w:t>
      </w:r>
      <w:r w:rsidR="00A65413" w:rsidRPr="003D4C2B">
        <w:t>.</w:t>
      </w:r>
    </w:p>
    <w:p w14:paraId="50468F43" w14:textId="6C15C070" w:rsidR="00E75467" w:rsidRPr="003D4C2B" w:rsidRDefault="00E75467" w:rsidP="00444F0A">
      <w:pPr>
        <w:pStyle w:val="Heading1"/>
        <w:keepNext w:val="0"/>
        <w:keepLines w:val="0"/>
        <w:widowControl w:val="0"/>
        <w:rPr>
          <w:lang w:val="vi"/>
        </w:rPr>
      </w:pPr>
      <w:r w:rsidRPr="003D4C2B">
        <w:rPr>
          <w:lang w:val="vi"/>
        </w:rPr>
        <w:t>VII. KẾT QUẢ SAU KHI THÀNH LẬP PHƯỜNG</w:t>
      </w:r>
    </w:p>
    <w:p w14:paraId="3DF2EEB5" w14:textId="77777777" w:rsidR="00E75467" w:rsidRPr="003D4C2B" w:rsidRDefault="00E75467" w:rsidP="00444F0A">
      <w:pPr>
        <w:pStyle w:val="Heading2"/>
        <w:keepNext w:val="0"/>
        <w:keepLines w:val="0"/>
        <w:widowControl w:val="0"/>
        <w:rPr>
          <w:lang w:val="vi"/>
        </w:rPr>
      </w:pPr>
      <w:r w:rsidRPr="003D4C2B">
        <w:rPr>
          <w:lang w:val="vi"/>
        </w:rPr>
        <w:t xml:space="preserve">1. Tỉnh Vĩnh Long </w:t>
      </w:r>
    </w:p>
    <w:p w14:paraId="2BBC68C7" w14:textId="77777777" w:rsidR="00E75467" w:rsidRPr="003D4C2B" w:rsidRDefault="00E75467" w:rsidP="00444F0A">
      <w:pPr>
        <w:pBdr>
          <w:top w:val="nil"/>
          <w:left w:val="nil"/>
          <w:bottom w:val="nil"/>
          <w:right w:val="nil"/>
          <w:between w:val="nil"/>
        </w:pBdr>
      </w:pPr>
      <w:r w:rsidRPr="003D4C2B">
        <w:t>Tỉnh Vĩnh Long không thay đổi về diện tích tự nhiên và quy mô dân số; có 124 đơn vị hành chính cấp xã, bao gồm 35 phường và 89 xã (giảm 16 xã và tăng 16 phường).</w:t>
      </w:r>
    </w:p>
    <w:p w14:paraId="760C57A8" w14:textId="0B6C56D8" w:rsidR="00E75467" w:rsidRPr="003D4C2B" w:rsidRDefault="00E75467" w:rsidP="00E75467">
      <w:pPr>
        <w:pStyle w:val="Heading2"/>
        <w:rPr>
          <w:lang w:val="vi"/>
        </w:rPr>
      </w:pPr>
      <w:r w:rsidRPr="003D4C2B">
        <w:rPr>
          <w:lang w:val="vi"/>
        </w:rPr>
        <w:t xml:space="preserve">2. Phường </w:t>
      </w:r>
      <w:r w:rsidR="00E000F7" w:rsidRPr="003D4C2B">
        <w:rPr>
          <w:lang w:val="vi"/>
        </w:rPr>
        <w:t>Mỏ Cày</w:t>
      </w:r>
    </w:p>
    <w:p w14:paraId="4C1A16BA" w14:textId="77777777" w:rsidR="00E000F7" w:rsidRPr="003D4C2B" w:rsidRDefault="00E000F7" w:rsidP="00E000F7">
      <w:pPr>
        <w:ind w:firstLine="566"/>
      </w:pPr>
      <w:r w:rsidRPr="003D4C2B">
        <w:t>Phường Mỏ Cày có diện tích tự nhiên là 38,89 km², quy mô dân số là 50.338  người.</w:t>
      </w:r>
    </w:p>
    <w:p w14:paraId="5631A744" w14:textId="1FE6A98D" w:rsidR="00E75467" w:rsidRPr="003D4C2B" w:rsidRDefault="00E000F7" w:rsidP="00E000F7">
      <w:pPr>
        <w:ind w:firstLine="566"/>
      </w:pPr>
      <w:r w:rsidRPr="003D4C2B">
        <w:t>Địa giới hành chính phường Mỏ Cày: Đông giáp xã Đồng Khởi; Tây giáp xã Nhuận Phú Tân; Nam giáp các xã Thành Thới và An Định; Bắc giáp xã Tân Thành Bình</w:t>
      </w:r>
    </w:p>
    <w:p w14:paraId="214F7BA7" w14:textId="59AE6234" w:rsidR="00E75467" w:rsidRPr="003D4C2B" w:rsidRDefault="00E75467" w:rsidP="00E75467">
      <w:pPr>
        <w:pStyle w:val="Heading1"/>
        <w:rPr>
          <w:lang w:val="vi"/>
        </w:rPr>
      </w:pPr>
      <w:r w:rsidRPr="003D4C2B">
        <w:rPr>
          <w:lang w:val="vi"/>
        </w:rPr>
        <w:t>VIII. KẾT LUẬN, KIẾN NGHỊ</w:t>
      </w:r>
    </w:p>
    <w:p w14:paraId="13D0885E" w14:textId="384BB1A8" w:rsidR="00E75467" w:rsidRPr="003D4C2B" w:rsidRDefault="00E75467" w:rsidP="00E75467">
      <w:pPr>
        <w:ind w:firstLine="566"/>
      </w:pPr>
      <w:r w:rsidRPr="003D4C2B">
        <w:t xml:space="preserve">Việc thành lập phường </w:t>
      </w:r>
      <w:r w:rsidR="00E000F7" w:rsidRPr="003D4C2B">
        <w:t>Mỏ Cày</w:t>
      </w:r>
      <w:r w:rsidRPr="003D4C2B">
        <w:t xml:space="preserve"> thuộc tỉnh Vĩnh Long là cần thiết, phù hợp với chủ trương, đường lối của Đảng, chính sách, pháp luật của Nhà nước và yêu cầu phát triển kinh tế - xã hội trong giai đoạn hiện nay. Đây là bước cụ thể hóa chủ trương sắp xếp, tổ chức lại đơn vị hành chính gắn với quá trình đô thị hóa, hoàn thiện mô hình quản lý đô thị và nâng cao hiệu lực, hiệu quả quản lý nhà nước trên địa bàn.</w:t>
      </w:r>
    </w:p>
    <w:p w14:paraId="420C2A82" w14:textId="20BBDB0B" w:rsidR="00E75467" w:rsidRPr="003D4C2B" w:rsidRDefault="00E75467" w:rsidP="00E75467">
      <w:pPr>
        <w:ind w:firstLine="566"/>
      </w:pPr>
      <w:r w:rsidRPr="003D4C2B">
        <w:t xml:space="preserve">Trên cơ sở rà soát, đánh giá toàn diện các điều kiện về quy mô dân số, diện tích </w:t>
      </w:r>
      <w:r w:rsidRPr="003D4C2B">
        <w:lastRenderedPageBreak/>
        <w:t>tự nhiên, trình độ phát triển kinh tế - xã hội, mức độ đô thị hóa, hệ thống kết cấu hạ tầng kỹ thuật, hạ tầng xã hội, định hướng quy hoạch và yêu cầu quản lý nhà nước, việc thành lập phường nêu trên bảo đảm có đủ cơ sở chính trị, pháp lý và thực tiễn; phù hợp với định hướng phát triển không gian đô thị của tỉnh Vĩnh Long trong thời kỳ mới.</w:t>
      </w:r>
    </w:p>
    <w:p w14:paraId="67C78515" w14:textId="61CF02EB" w:rsidR="00E75467" w:rsidRPr="003D4C2B" w:rsidRDefault="00E75467" w:rsidP="00E75467">
      <w:pPr>
        <w:ind w:firstLine="566"/>
      </w:pPr>
      <w:r w:rsidRPr="003D4C2B">
        <w:t>Việc thành lập phường sẽ tạo điều kiện thuận lợi để nâng cao chất lượng quản lý nhà nước trên các lĩnh vực; tăng cường hiệu quả quản lý dân cư, đất đai, xây dựng, quy hoạch, trật tự đô thị, bảo vệ môi trường, đầu tư xây dựng kết cấu hạ tầng kỹ thuật và hạ tầng xã hội; đồng thời đáp ứng tốt hơn yêu cầu bảo đảm quốc phòng, an ninh, giữ gìn trật tự, an toàn xã hội trên địa bàn.</w:t>
      </w:r>
    </w:p>
    <w:p w14:paraId="6C4957E2" w14:textId="5DAFEDFA" w:rsidR="00E75467" w:rsidRPr="003D4C2B" w:rsidRDefault="00E75467" w:rsidP="00E75467">
      <w:pPr>
        <w:ind w:firstLine="566"/>
      </w:pPr>
      <w:r w:rsidRPr="003D4C2B">
        <w:t>Bên cạnh đó, việc thành lập phường còn góp phần huy động, quản lý và sử dụng hiệu quả các nguồn lực đầu tư; thúc đẩy chuyển dịch cơ cấu kinh tế theo hướng thương mại, dịch vụ, công nghiệp và đô thị; tạo động lực phát triển kinh tế - xã hội, từng bước hoàn thiện các tiêu chí đô thị và nâng cao đời sống vật chất, tinh thần của Nhân dân.</w:t>
      </w:r>
    </w:p>
    <w:p w14:paraId="48E9363C" w14:textId="6972B89A" w:rsidR="00E75467" w:rsidRPr="003D4C2B" w:rsidRDefault="00E75467" w:rsidP="00E75467">
      <w:r w:rsidRPr="003D4C2B">
        <w:t xml:space="preserve">Từ những căn cứ nêu trên, có thể khẳng định việc thành lập phường </w:t>
      </w:r>
      <w:r w:rsidR="00E000F7" w:rsidRPr="003D4C2B">
        <w:t xml:space="preserve">Mỏ Cày </w:t>
      </w:r>
      <w:r w:rsidRPr="003D4C2B">
        <w:t>thuộc tỉnh Vĩnh Long là phù hợp với yêu cầu thực tiễn, đáp ứng định hướng phát triển đô thị và đủ điều kiện để trình cấp có thẩm quyền xem xét, quyết định.</w:t>
      </w:r>
    </w:p>
    <w:sectPr w:rsidR="00E75467" w:rsidRPr="003D4C2B" w:rsidSect="00444F0A">
      <w:footerReference w:type="default" r:id="rId7"/>
      <w:pgSz w:w="12240" w:h="15840"/>
      <w:pgMar w:top="1440" w:right="1440" w:bottom="144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7A4A" w14:textId="77777777" w:rsidR="00233085" w:rsidRDefault="00233085" w:rsidP="00E75467">
      <w:pPr>
        <w:spacing w:after="0" w:line="240" w:lineRule="auto"/>
      </w:pPr>
      <w:r>
        <w:separator/>
      </w:r>
    </w:p>
  </w:endnote>
  <w:endnote w:type="continuationSeparator" w:id="0">
    <w:p w14:paraId="5143D4C5" w14:textId="77777777" w:rsidR="00233085" w:rsidRDefault="00233085" w:rsidP="00E75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8942662"/>
      <w:docPartObj>
        <w:docPartGallery w:val="Page Numbers (Bottom of Page)"/>
        <w:docPartUnique/>
      </w:docPartObj>
    </w:sdtPr>
    <w:sdtEndPr>
      <w:rPr>
        <w:noProof/>
      </w:rPr>
    </w:sdtEndPr>
    <w:sdtContent>
      <w:p w14:paraId="249FB661" w14:textId="759EBA4B" w:rsidR="00444F0A" w:rsidRDefault="00444F0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BA2E57" w14:textId="77777777" w:rsidR="00444F0A" w:rsidRDefault="00444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4AD45" w14:textId="77777777" w:rsidR="00233085" w:rsidRDefault="00233085" w:rsidP="00E75467">
      <w:pPr>
        <w:spacing w:after="0" w:line="240" w:lineRule="auto"/>
      </w:pPr>
      <w:r>
        <w:separator/>
      </w:r>
    </w:p>
  </w:footnote>
  <w:footnote w:type="continuationSeparator" w:id="0">
    <w:p w14:paraId="235F2581" w14:textId="77777777" w:rsidR="00233085" w:rsidRDefault="00233085" w:rsidP="00E754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0E"/>
    <w:rsid w:val="00175F89"/>
    <w:rsid w:val="001F076D"/>
    <w:rsid w:val="00233085"/>
    <w:rsid w:val="0027275B"/>
    <w:rsid w:val="00335AB7"/>
    <w:rsid w:val="003D4C2B"/>
    <w:rsid w:val="00444F0A"/>
    <w:rsid w:val="004E710E"/>
    <w:rsid w:val="005948EF"/>
    <w:rsid w:val="005C19D0"/>
    <w:rsid w:val="005E2753"/>
    <w:rsid w:val="005E6EEA"/>
    <w:rsid w:val="007569B6"/>
    <w:rsid w:val="0076516A"/>
    <w:rsid w:val="007E4EC9"/>
    <w:rsid w:val="00990BF6"/>
    <w:rsid w:val="009D5304"/>
    <w:rsid w:val="009E7567"/>
    <w:rsid w:val="00A32926"/>
    <w:rsid w:val="00A65413"/>
    <w:rsid w:val="00AD7FA2"/>
    <w:rsid w:val="00B0460E"/>
    <w:rsid w:val="00B45A46"/>
    <w:rsid w:val="00CE5A1D"/>
    <w:rsid w:val="00D016D8"/>
    <w:rsid w:val="00D93C5C"/>
    <w:rsid w:val="00E000F7"/>
    <w:rsid w:val="00E75467"/>
    <w:rsid w:val="00EA7B36"/>
    <w:rsid w:val="00ED5F77"/>
    <w:rsid w:val="00F111D1"/>
    <w:rsid w:val="00F329E0"/>
    <w:rsid w:val="00FC5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1895D"/>
  <w15:chartTrackingRefBased/>
  <w15:docId w15:val="{2260C9BE-EC23-4105-AE60-2F599573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line="340" w:lineRule="exact"/>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60E"/>
    <w:pPr>
      <w:widowControl w:val="0"/>
    </w:pPr>
    <w:rPr>
      <w:rFonts w:eastAsia="Times New Roman" w:cs="Times New Roman"/>
      <w:kern w:val="0"/>
      <w:szCs w:val="28"/>
      <w:lang w:val="vi"/>
      <w14:ligatures w14:val="none"/>
    </w:rPr>
  </w:style>
  <w:style w:type="paragraph" w:styleId="Heading1">
    <w:name w:val="heading 1"/>
    <w:basedOn w:val="Normal"/>
    <w:next w:val="Normal"/>
    <w:link w:val="Heading1Char"/>
    <w:uiPriority w:val="9"/>
    <w:qFormat/>
    <w:rsid w:val="00B0460E"/>
    <w:pPr>
      <w:keepNext/>
      <w:keepLines/>
      <w:widowControl/>
      <w:outlineLvl w:val="0"/>
    </w:pPr>
    <w:rPr>
      <w:rFonts w:eastAsiaTheme="majorEastAsia" w:cstheme="majorBidi"/>
      <w:b/>
      <w:kern w:val="2"/>
      <w:szCs w:val="40"/>
      <w:lang w:val="en-US"/>
      <w14:ligatures w14:val="standardContextual"/>
    </w:rPr>
  </w:style>
  <w:style w:type="paragraph" w:styleId="Heading2">
    <w:name w:val="heading 2"/>
    <w:basedOn w:val="Normal"/>
    <w:next w:val="Normal"/>
    <w:link w:val="Heading2Char"/>
    <w:uiPriority w:val="9"/>
    <w:unhideWhenUsed/>
    <w:qFormat/>
    <w:rsid w:val="00B0460E"/>
    <w:pPr>
      <w:keepNext/>
      <w:keepLines/>
      <w:widowControl/>
      <w:outlineLvl w:val="1"/>
    </w:pPr>
    <w:rPr>
      <w:rFonts w:eastAsiaTheme="majorEastAsia" w:cstheme="majorBidi"/>
      <w:b/>
      <w:kern w:val="2"/>
      <w:szCs w:val="32"/>
      <w:lang w:val="en-US"/>
      <w14:ligatures w14:val="standardContextual"/>
    </w:rPr>
  </w:style>
  <w:style w:type="paragraph" w:styleId="Heading3">
    <w:name w:val="heading 3"/>
    <w:basedOn w:val="Normal"/>
    <w:next w:val="Normal"/>
    <w:link w:val="Heading3Char"/>
    <w:uiPriority w:val="9"/>
    <w:semiHidden/>
    <w:unhideWhenUsed/>
    <w:qFormat/>
    <w:rsid w:val="00B0460E"/>
    <w:pPr>
      <w:keepNext/>
      <w:keepLines/>
      <w:widowControl/>
      <w:spacing w:before="160" w:after="80"/>
      <w:outlineLvl w:val="2"/>
    </w:pPr>
    <w:rPr>
      <w:rFonts w:asciiTheme="minorHAnsi" w:eastAsiaTheme="majorEastAsia" w:hAnsiTheme="minorHAnsi" w:cstheme="majorBidi"/>
      <w:color w:val="0F4761"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B0460E"/>
    <w:pPr>
      <w:keepNext/>
      <w:keepLines/>
      <w:widowControl/>
      <w:spacing w:before="80" w:after="40"/>
      <w:outlineLvl w:val="3"/>
    </w:pPr>
    <w:rPr>
      <w:rFonts w:asciiTheme="minorHAnsi" w:eastAsiaTheme="majorEastAsia" w:hAnsiTheme="minorHAnsi" w:cstheme="majorBidi"/>
      <w:i/>
      <w:iCs/>
      <w:color w:val="0F4761" w:themeColor="accent1" w:themeShade="BF"/>
      <w:kern w:val="2"/>
      <w:szCs w:val="24"/>
      <w:lang w:val="en-US"/>
      <w14:ligatures w14:val="standardContextual"/>
    </w:rPr>
  </w:style>
  <w:style w:type="paragraph" w:styleId="Heading5">
    <w:name w:val="heading 5"/>
    <w:basedOn w:val="Normal"/>
    <w:next w:val="Normal"/>
    <w:link w:val="Heading5Char"/>
    <w:uiPriority w:val="9"/>
    <w:semiHidden/>
    <w:unhideWhenUsed/>
    <w:qFormat/>
    <w:rsid w:val="00B0460E"/>
    <w:pPr>
      <w:keepNext/>
      <w:keepLines/>
      <w:widowControl/>
      <w:spacing w:before="80" w:after="40"/>
      <w:outlineLvl w:val="4"/>
    </w:pPr>
    <w:rPr>
      <w:rFonts w:asciiTheme="minorHAnsi" w:eastAsiaTheme="majorEastAsia" w:hAnsiTheme="minorHAnsi" w:cstheme="majorBidi"/>
      <w:color w:val="0F4761" w:themeColor="accent1" w:themeShade="BF"/>
      <w:kern w:val="2"/>
      <w:szCs w:val="24"/>
      <w:lang w:val="en-US"/>
      <w14:ligatures w14:val="standardContextual"/>
    </w:rPr>
  </w:style>
  <w:style w:type="paragraph" w:styleId="Heading6">
    <w:name w:val="heading 6"/>
    <w:basedOn w:val="Normal"/>
    <w:next w:val="Normal"/>
    <w:link w:val="Heading6Char"/>
    <w:uiPriority w:val="9"/>
    <w:semiHidden/>
    <w:unhideWhenUsed/>
    <w:qFormat/>
    <w:rsid w:val="00B0460E"/>
    <w:pPr>
      <w:keepNext/>
      <w:keepLines/>
      <w:widowControl/>
      <w:spacing w:before="40" w:after="0"/>
      <w:outlineLvl w:val="5"/>
    </w:pPr>
    <w:rPr>
      <w:rFonts w:asciiTheme="minorHAnsi" w:eastAsiaTheme="majorEastAsia" w:hAnsiTheme="minorHAnsi" w:cstheme="majorBidi"/>
      <w:i/>
      <w:iCs/>
      <w:color w:val="595959" w:themeColor="text1" w:themeTint="A6"/>
      <w:kern w:val="2"/>
      <w:szCs w:val="24"/>
      <w:lang w:val="en-US"/>
      <w14:ligatures w14:val="standardContextual"/>
    </w:rPr>
  </w:style>
  <w:style w:type="paragraph" w:styleId="Heading7">
    <w:name w:val="heading 7"/>
    <w:basedOn w:val="Normal"/>
    <w:next w:val="Normal"/>
    <w:link w:val="Heading7Char"/>
    <w:uiPriority w:val="9"/>
    <w:semiHidden/>
    <w:unhideWhenUsed/>
    <w:qFormat/>
    <w:rsid w:val="00B0460E"/>
    <w:pPr>
      <w:keepNext/>
      <w:keepLines/>
      <w:widowControl/>
      <w:spacing w:before="40" w:after="0"/>
      <w:outlineLvl w:val="6"/>
    </w:pPr>
    <w:rPr>
      <w:rFonts w:asciiTheme="minorHAnsi" w:eastAsiaTheme="majorEastAsia" w:hAnsiTheme="minorHAnsi" w:cstheme="majorBidi"/>
      <w:color w:val="595959" w:themeColor="text1" w:themeTint="A6"/>
      <w:kern w:val="2"/>
      <w:szCs w:val="24"/>
      <w:lang w:val="en-US"/>
      <w14:ligatures w14:val="standardContextual"/>
    </w:rPr>
  </w:style>
  <w:style w:type="paragraph" w:styleId="Heading8">
    <w:name w:val="heading 8"/>
    <w:basedOn w:val="Normal"/>
    <w:next w:val="Normal"/>
    <w:link w:val="Heading8Char"/>
    <w:uiPriority w:val="9"/>
    <w:semiHidden/>
    <w:unhideWhenUsed/>
    <w:qFormat/>
    <w:rsid w:val="00B0460E"/>
    <w:pPr>
      <w:keepNext/>
      <w:keepLines/>
      <w:widowControl/>
      <w:spacing w:after="0"/>
      <w:outlineLvl w:val="7"/>
    </w:pPr>
    <w:rPr>
      <w:rFonts w:asciiTheme="minorHAnsi" w:eastAsiaTheme="majorEastAsia" w:hAnsiTheme="minorHAnsi" w:cstheme="majorBidi"/>
      <w:i/>
      <w:iCs/>
      <w:color w:val="272727" w:themeColor="text1" w:themeTint="D8"/>
      <w:kern w:val="2"/>
      <w:szCs w:val="24"/>
      <w:lang w:val="en-US"/>
      <w14:ligatures w14:val="standardContextual"/>
    </w:rPr>
  </w:style>
  <w:style w:type="paragraph" w:styleId="Heading9">
    <w:name w:val="heading 9"/>
    <w:basedOn w:val="Normal"/>
    <w:next w:val="Normal"/>
    <w:link w:val="Heading9Char"/>
    <w:uiPriority w:val="9"/>
    <w:semiHidden/>
    <w:unhideWhenUsed/>
    <w:qFormat/>
    <w:rsid w:val="00B0460E"/>
    <w:pPr>
      <w:keepNext/>
      <w:keepLines/>
      <w:widowControl/>
      <w:spacing w:after="0"/>
      <w:outlineLvl w:val="8"/>
    </w:pPr>
    <w:rPr>
      <w:rFonts w:asciiTheme="minorHAnsi" w:eastAsiaTheme="majorEastAsia" w:hAnsiTheme="minorHAnsi" w:cstheme="majorBidi"/>
      <w:color w:val="272727" w:themeColor="text1" w:themeTint="D8"/>
      <w:kern w:val="2"/>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0E"/>
    <w:rPr>
      <w:rFonts w:eastAsiaTheme="majorEastAsia" w:cstheme="majorBidi"/>
      <w:b/>
      <w:szCs w:val="40"/>
    </w:rPr>
  </w:style>
  <w:style w:type="character" w:customStyle="1" w:styleId="Heading2Char">
    <w:name w:val="Heading 2 Char"/>
    <w:basedOn w:val="DefaultParagraphFont"/>
    <w:link w:val="Heading2"/>
    <w:uiPriority w:val="9"/>
    <w:rsid w:val="00B0460E"/>
    <w:rPr>
      <w:rFonts w:eastAsiaTheme="majorEastAsia" w:cstheme="majorBidi"/>
      <w:b/>
      <w:szCs w:val="32"/>
    </w:rPr>
  </w:style>
  <w:style w:type="character" w:customStyle="1" w:styleId="Heading3Char">
    <w:name w:val="Heading 3 Char"/>
    <w:basedOn w:val="DefaultParagraphFont"/>
    <w:link w:val="Heading3"/>
    <w:uiPriority w:val="9"/>
    <w:semiHidden/>
    <w:rsid w:val="00B0460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0460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460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46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46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46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46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460E"/>
    <w:pPr>
      <w:widowControl/>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046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0E"/>
    <w:pPr>
      <w:widowControl/>
      <w:numPr>
        <w:ilvl w:val="1"/>
      </w:numPr>
      <w:spacing w:after="160"/>
      <w:ind w:firstLine="567"/>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B0460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0460E"/>
    <w:pPr>
      <w:widowControl/>
      <w:spacing w:before="160" w:after="160"/>
      <w:jc w:val="center"/>
    </w:pPr>
    <w:rPr>
      <w:rFonts w:eastAsiaTheme="minorHAnsi" w:cstheme="minorBidi"/>
      <w:i/>
      <w:iCs/>
      <w:color w:val="404040" w:themeColor="text1" w:themeTint="BF"/>
      <w:kern w:val="2"/>
      <w:szCs w:val="24"/>
      <w:lang w:val="en-US"/>
      <w14:ligatures w14:val="standardContextual"/>
    </w:rPr>
  </w:style>
  <w:style w:type="character" w:customStyle="1" w:styleId="QuoteChar">
    <w:name w:val="Quote Char"/>
    <w:basedOn w:val="DefaultParagraphFont"/>
    <w:link w:val="Quote"/>
    <w:uiPriority w:val="29"/>
    <w:rsid w:val="00B0460E"/>
    <w:rPr>
      <w:i/>
      <w:iCs/>
      <w:color w:val="404040" w:themeColor="text1" w:themeTint="BF"/>
    </w:rPr>
  </w:style>
  <w:style w:type="paragraph" w:styleId="ListParagraph">
    <w:name w:val="List Paragraph"/>
    <w:basedOn w:val="Normal"/>
    <w:uiPriority w:val="34"/>
    <w:qFormat/>
    <w:rsid w:val="00B0460E"/>
    <w:pPr>
      <w:widowControl/>
      <w:ind w:left="720"/>
      <w:contextualSpacing/>
    </w:pPr>
    <w:rPr>
      <w:rFonts w:eastAsiaTheme="minorHAnsi" w:cstheme="minorBidi"/>
      <w:kern w:val="2"/>
      <w:szCs w:val="24"/>
      <w:lang w:val="en-US"/>
      <w14:ligatures w14:val="standardContextual"/>
    </w:rPr>
  </w:style>
  <w:style w:type="character" w:styleId="IntenseEmphasis">
    <w:name w:val="Intense Emphasis"/>
    <w:basedOn w:val="DefaultParagraphFont"/>
    <w:uiPriority w:val="21"/>
    <w:qFormat/>
    <w:rsid w:val="00B0460E"/>
    <w:rPr>
      <w:i/>
      <w:iCs/>
      <w:color w:val="0F4761" w:themeColor="accent1" w:themeShade="BF"/>
    </w:rPr>
  </w:style>
  <w:style w:type="paragraph" w:styleId="IntenseQuote">
    <w:name w:val="Intense Quote"/>
    <w:basedOn w:val="Normal"/>
    <w:next w:val="Normal"/>
    <w:link w:val="IntenseQuoteChar"/>
    <w:uiPriority w:val="30"/>
    <w:qFormat/>
    <w:rsid w:val="00B0460E"/>
    <w:pPr>
      <w:widowControl/>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lang w:val="en-US"/>
      <w14:ligatures w14:val="standardContextual"/>
    </w:rPr>
  </w:style>
  <w:style w:type="character" w:customStyle="1" w:styleId="IntenseQuoteChar">
    <w:name w:val="Intense Quote Char"/>
    <w:basedOn w:val="DefaultParagraphFont"/>
    <w:link w:val="IntenseQuote"/>
    <w:uiPriority w:val="30"/>
    <w:rsid w:val="00B0460E"/>
    <w:rPr>
      <w:i/>
      <w:iCs/>
      <w:color w:val="0F4761" w:themeColor="accent1" w:themeShade="BF"/>
    </w:rPr>
  </w:style>
  <w:style w:type="character" w:styleId="IntenseReference">
    <w:name w:val="Intense Reference"/>
    <w:basedOn w:val="DefaultParagraphFont"/>
    <w:uiPriority w:val="32"/>
    <w:qFormat/>
    <w:rsid w:val="00B0460E"/>
    <w:rPr>
      <w:b/>
      <w:bCs/>
      <w:smallCaps/>
      <w:color w:val="0F4761" w:themeColor="accent1" w:themeShade="BF"/>
      <w:spacing w:val="5"/>
    </w:rPr>
  </w:style>
  <w:style w:type="character" w:styleId="CommentReference">
    <w:name w:val="annotation reference"/>
    <w:basedOn w:val="DefaultParagraphFont"/>
    <w:uiPriority w:val="99"/>
    <w:semiHidden/>
    <w:unhideWhenUsed/>
    <w:rsid w:val="00B0460E"/>
    <w:rPr>
      <w:sz w:val="16"/>
      <w:szCs w:val="16"/>
    </w:rPr>
  </w:style>
  <w:style w:type="paragraph" w:styleId="CommentText">
    <w:name w:val="annotation text"/>
    <w:basedOn w:val="Normal"/>
    <w:link w:val="CommentTextChar"/>
    <w:uiPriority w:val="99"/>
    <w:semiHidden/>
    <w:unhideWhenUsed/>
    <w:rsid w:val="00B0460E"/>
    <w:pPr>
      <w:spacing w:line="240" w:lineRule="auto"/>
    </w:pPr>
    <w:rPr>
      <w:sz w:val="20"/>
      <w:szCs w:val="20"/>
    </w:rPr>
  </w:style>
  <w:style w:type="character" w:customStyle="1" w:styleId="CommentTextChar">
    <w:name w:val="Comment Text Char"/>
    <w:basedOn w:val="DefaultParagraphFont"/>
    <w:link w:val="CommentText"/>
    <w:uiPriority w:val="99"/>
    <w:semiHidden/>
    <w:rsid w:val="00B0460E"/>
    <w:rPr>
      <w:rFonts w:eastAsia="Times New Roman" w:cs="Times New Roman"/>
      <w:kern w:val="0"/>
      <w:sz w:val="20"/>
      <w:szCs w:val="20"/>
      <w:lang w:val="vi"/>
      <w14:ligatures w14:val="none"/>
    </w:rPr>
  </w:style>
  <w:style w:type="paragraph" w:styleId="CommentSubject">
    <w:name w:val="annotation subject"/>
    <w:basedOn w:val="CommentText"/>
    <w:next w:val="CommentText"/>
    <w:link w:val="CommentSubjectChar"/>
    <w:uiPriority w:val="99"/>
    <w:semiHidden/>
    <w:unhideWhenUsed/>
    <w:rsid w:val="00B0460E"/>
    <w:rPr>
      <w:b/>
      <w:bCs/>
    </w:rPr>
  </w:style>
  <w:style w:type="character" w:customStyle="1" w:styleId="CommentSubjectChar">
    <w:name w:val="Comment Subject Char"/>
    <w:basedOn w:val="CommentTextChar"/>
    <w:link w:val="CommentSubject"/>
    <w:uiPriority w:val="99"/>
    <w:semiHidden/>
    <w:rsid w:val="00B0460E"/>
    <w:rPr>
      <w:rFonts w:eastAsia="Times New Roman" w:cs="Times New Roman"/>
      <w:b/>
      <w:bCs/>
      <w:kern w:val="0"/>
      <w:sz w:val="20"/>
      <w:szCs w:val="20"/>
      <w:lang w:val="vi"/>
      <w14:ligatures w14:val="none"/>
    </w:rPr>
  </w:style>
  <w:style w:type="paragraph" w:styleId="Header">
    <w:name w:val="header"/>
    <w:basedOn w:val="Normal"/>
    <w:link w:val="HeaderChar"/>
    <w:uiPriority w:val="99"/>
    <w:unhideWhenUsed/>
    <w:rsid w:val="00E75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467"/>
    <w:rPr>
      <w:rFonts w:eastAsia="Times New Roman" w:cs="Times New Roman"/>
      <w:kern w:val="0"/>
      <w:szCs w:val="28"/>
      <w:lang w:val="vi"/>
      <w14:ligatures w14:val="none"/>
    </w:rPr>
  </w:style>
  <w:style w:type="paragraph" w:styleId="Footer">
    <w:name w:val="footer"/>
    <w:basedOn w:val="Normal"/>
    <w:link w:val="FooterChar"/>
    <w:uiPriority w:val="99"/>
    <w:unhideWhenUsed/>
    <w:rsid w:val="00E75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467"/>
    <w:rPr>
      <w:rFonts w:eastAsia="Times New Roman" w:cs="Times New Roman"/>
      <w:kern w:val="0"/>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109">
      <w:bodyDiv w:val="1"/>
      <w:marLeft w:val="0"/>
      <w:marRight w:val="0"/>
      <w:marTop w:val="0"/>
      <w:marBottom w:val="0"/>
      <w:divBdr>
        <w:top w:val="none" w:sz="0" w:space="0" w:color="auto"/>
        <w:left w:val="none" w:sz="0" w:space="0" w:color="auto"/>
        <w:bottom w:val="none" w:sz="0" w:space="0" w:color="auto"/>
        <w:right w:val="none" w:sz="0" w:space="0" w:color="auto"/>
      </w:divBdr>
      <w:divsChild>
        <w:div w:id="136648170">
          <w:marLeft w:val="0"/>
          <w:marRight w:val="0"/>
          <w:marTop w:val="0"/>
          <w:marBottom w:val="0"/>
          <w:divBdr>
            <w:top w:val="none" w:sz="0" w:space="0" w:color="auto"/>
            <w:left w:val="none" w:sz="0" w:space="0" w:color="auto"/>
            <w:bottom w:val="none" w:sz="0" w:space="0" w:color="auto"/>
            <w:right w:val="none" w:sz="0" w:space="0" w:color="auto"/>
          </w:divBdr>
        </w:div>
        <w:div w:id="1295599755">
          <w:marLeft w:val="0"/>
          <w:marRight w:val="0"/>
          <w:marTop w:val="0"/>
          <w:marBottom w:val="0"/>
          <w:divBdr>
            <w:top w:val="none" w:sz="0" w:space="0" w:color="auto"/>
            <w:left w:val="none" w:sz="0" w:space="0" w:color="auto"/>
            <w:bottom w:val="none" w:sz="0" w:space="0" w:color="auto"/>
            <w:right w:val="none" w:sz="0" w:space="0" w:color="auto"/>
          </w:divBdr>
        </w:div>
        <w:div w:id="550192998">
          <w:marLeft w:val="0"/>
          <w:marRight w:val="0"/>
          <w:marTop w:val="0"/>
          <w:marBottom w:val="0"/>
          <w:divBdr>
            <w:top w:val="none" w:sz="0" w:space="0" w:color="auto"/>
            <w:left w:val="none" w:sz="0" w:space="0" w:color="auto"/>
            <w:bottom w:val="none" w:sz="0" w:space="0" w:color="auto"/>
            <w:right w:val="none" w:sz="0" w:space="0" w:color="auto"/>
          </w:divBdr>
        </w:div>
        <w:div w:id="1089619561">
          <w:marLeft w:val="0"/>
          <w:marRight w:val="0"/>
          <w:marTop w:val="0"/>
          <w:marBottom w:val="0"/>
          <w:divBdr>
            <w:top w:val="none" w:sz="0" w:space="0" w:color="auto"/>
            <w:left w:val="none" w:sz="0" w:space="0" w:color="auto"/>
            <w:bottom w:val="none" w:sz="0" w:space="0" w:color="auto"/>
            <w:right w:val="none" w:sz="0" w:space="0" w:color="auto"/>
          </w:divBdr>
        </w:div>
        <w:div w:id="979116445">
          <w:marLeft w:val="0"/>
          <w:marRight w:val="0"/>
          <w:marTop w:val="0"/>
          <w:marBottom w:val="0"/>
          <w:divBdr>
            <w:top w:val="none" w:sz="0" w:space="0" w:color="auto"/>
            <w:left w:val="none" w:sz="0" w:space="0" w:color="auto"/>
            <w:bottom w:val="none" w:sz="0" w:space="0" w:color="auto"/>
            <w:right w:val="none" w:sz="0" w:space="0" w:color="auto"/>
          </w:divBdr>
        </w:div>
        <w:div w:id="414015950">
          <w:marLeft w:val="0"/>
          <w:marRight w:val="0"/>
          <w:marTop w:val="0"/>
          <w:marBottom w:val="0"/>
          <w:divBdr>
            <w:top w:val="none" w:sz="0" w:space="0" w:color="auto"/>
            <w:left w:val="none" w:sz="0" w:space="0" w:color="auto"/>
            <w:bottom w:val="none" w:sz="0" w:space="0" w:color="auto"/>
            <w:right w:val="none" w:sz="0" w:space="0" w:color="auto"/>
          </w:divBdr>
        </w:div>
      </w:divsChild>
    </w:div>
    <w:div w:id="500437604">
      <w:bodyDiv w:val="1"/>
      <w:marLeft w:val="0"/>
      <w:marRight w:val="0"/>
      <w:marTop w:val="0"/>
      <w:marBottom w:val="0"/>
      <w:divBdr>
        <w:top w:val="none" w:sz="0" w:space="0" w:color="auto"/>
        <w:left w:val="none" w:sz="0" w:space="0" w:color="auto"/>
        <w:bottom w:val="none" w:sz="0" w:space="0" w:color="auto"/>
        <w:right w:val="none" w:sz="0" w:space="0" w:color="auto"/>
      </w:divBdr>
    </w:div>
    <w:div w:id="1890799594">
      <w:bodyDiv w:val="1"/>
      <w:marLeft w:val="0"/>
      <w:marRight w:val="0"/>
      <w:marTop w:val="0"/>
      <w:marBottom w:val="0"/>
      <w:divBdr>
        <w:top w:val="none" w:sz="0" w:space="0" w:color="auto"/>
        <w:left w:val="none" w:sz="0" w:space="0" w:color="auto"/>
        <w:bottom w:val="none" w:sz="0" w:space="0" w:color="auto"/>
        <w:right w:val="none" w:sz="0" w:space="0" w:color="auto"/>
      </w:divBdr>
      <w:divsChild>
        <w:div w:id="1001156886">
          <w:marLeft w:val="0"/>
          <w:marRight w:val="0"/>
          <w:marTop w:val="0"/>
          <w:marBottom w:val="0"/>
          <w:divBdr>
            <w:top w:val="none" w:sz="0" w:space="0" w:color="auto"/>
            <w:left w:val="none" w:sz="0" w:space="0" w:color="auto"/>
            <w:bottom w:val="none" w:sz="0" w:space="0" w:color="auto"/>
            <w:right w:val="none" w:sz="0" w:space="0" w:color="auto"/>
          </w:divBdr>
        </w:div>
        <w:div w:id="172186447">
          <w:marLeft w:val="0"/>
          <w:marRight w:val="0"/>
          <w:marTop w:val="0"/>
          <w:marBottom w:val="0"/>
          <w:divBdr>
            <w:top w:val="none" w:sz="0" w:space="0" w:color="auto"/>
            <w:left w:val="none" w:sz="0" w:space="0" w:color="auto"/>
            <w:bottom w:val="none" w:sz="0" w:space="0" w:color="auto"/>
            <w:right w:val="none" w:sz="0" w:space="0" w:color="auto"/>
          </w:divBdr>
        </w:div>
        <w:div w:id="16205122">
          <w:marLeft w:val="0"/>
          <w:marRight w:val="0"/>
          <w:marTop w:val="0"/>
          <w:marBottom w:val="0"/>
          <w:divBdr>
            <w:top w:val="none" w:sz="0" w:space="0" w:color="auto"/>
            <w:left w:val="none" w:sz="0" w:space="0" w:color="auto"/>
            <w:bottom w:val="none" w:sz="0" w:space="0" w:color="auto"/>
            <w:right w:val="none" w:sz="0" w:space="0" w:color="auto"/>
          </w:divBdr>
        </w:div>
        <w:div w:id="157580614">
          <w:marLeft w:val="0"/>
          <w:marRight w:val="0"/>
          <w:marTop w:val="0"/>
          <w:marBottom w:val="0"/>
          <w:divBdr>
            <w:top w:val="none" w:sz="0" w:space="0" w:color="auto"/>
            <w:left w:val="none" w:sz="0" w:space="0" w:color="auto"/>
            <w:bottom w:val="none" w:sz="0" w:space="0" w:color="auto"/>
            <w:right w:val="none" w:sz="0" w:space="0" w:color="auto"/>
          </w:divBdr>
        </w:div>
        <w:div w:id="197813724">
          <w:marLeft w:val="0"/>
          <w:marRight w:val="0"/>
          <w:marTop w:val="0"/>
          <w:marBottom w:val="0"/>
          <w:divBdr>
            <w:top w:val="none" w:sz="0" w:space="0" w:color="auto"/>
            <w:left w:val="none" w:sz="0" w:space="0" w:color="auto"/>
            <w:bottom w:val="none" w:sz="0" w:space="0" w:color="auto"/>
            <w:right w:val="none" w:sz="0" w:space="0" w:color="auto"/>
          </w:divBdr>
        </w:div>
        <w:div w:id="1251279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thuong-mai/quyet-dinh-287-qd-ttg-2022-phe-duyet-quy-hoach-vung-dong-bang-song-cuu-long-505561.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2353</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Mạnh Tiến</dc:creator>
  <cp:keywords/>
  <dc:description/>
  <cp:lastModifiedBy>Nguyễn Mạnh Tiến</cp:lastModifiedBy>
  <cp:revision>8</cp:revision>
  <dcterms:created xsi:type="dcterms:W3CDTF">2026-05-26T08:10:00Z</dcterms:created>
  <dcterms:modified xsi:type="dcterms:W3CDTF">2026-05-28T01:24:00Z</dcterms:modified>
</cp:coreProperties>
</file>